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485" w:type="dxa"/>
        <w:tblInd w:w="4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7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037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一体化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模块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VM-5GA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</w:t>
            </w:r>
            <w:r>
              <w:drawing>
                <wp:inline distT="0" distB="0" distL="114300" distR="114300">
                  <wp:extent cx="2675255" cy="1795780"/>
                  <wp:effectExtent l="0" t="0" r="6985" b="254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255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3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一体化天线特性：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1"/>
          <w:szCs w:val="21"/>
        </w:rPr>
        <w:t>1.标签识别灵敏，稳定。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2.稳定识别距离2-3米。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3.多标签识别性能：&gt;50张标签。 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4.标签识别速度：&gt;50张/秒。 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彻底解决发热的问题: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1.无需外接任何散热装置。室温下长期连续满负荷工作不发热。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1"/>
          <w:szCs w:val="21"/>
        </w:rPr>
        <w:t>2.持续电流&lt;200mA @ 3.5V (26 dBm Output)。峰值脉冲电流&lt;260mA。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出色的稳定性: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1.24小时x 365天工作不死机。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</w:rPr>
        <w:t>2.性能受外壳，电磁环境等外界影响小。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</w:rPr>
        <w:t>3.宽温设计，温漂系数极低。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优秀的一致性: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</w:rPr>
        <w:t>1.一致性设计的典范之作。</w:t>
      </w:r>
    </w:p>
    <w:p>
      <w:pPr>
        <w:ind w:left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2.全部选用最高等级的元器件，保证各项参数稳定一致。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简洁高效的软硬件接口:</w:t>
      </w:r>
    </w:p>
    <w:p>
      <w:pPr>
        <w:ind w:leftChars="20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1.外围电路极其简单，单电源，无需外接钽电容。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安装方法:支持5pin WAFER安装。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7"/>
        <w:tblW w:w="9912" w:type="dxa"/>
        <w:tblInd w:w="488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7562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VM-5GA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12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  气  性  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工作电压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DC 3.5V – 5 V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PCB尺寸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Pcb尺寸：50*50mm ,陶瓷天线尺寸：40*40mm 整体高度：8.5mm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待机状态电流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&lt;80mA (EN 脚高电平)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睡眠状态电流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&lt;100uA (EN 脚低电平)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工作电流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180mA @ 3.5V (26 dBm Output，25°C)。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110mA @ 3.5V (18 dBm Output，25°C)。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启动时间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&lt;100mS。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- 20 °C  -  + 70  °C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- 20 °C  -  + 85  °C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工作湿度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 95% ( + 25 °C)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空中接口协议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EPCglobal UHF Class 1 Gen 2 / ISO 18000-6C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工作频谱范围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840-960MHZ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工作区域支持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US, Canada and other regions following U.S. FCC 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Europe and other regions following ETSI EN 302 208 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Mainland China；Japan；Korea；Malaysia；Taiwan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输出功率范围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18-26 dBm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读写距离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读距200-250cm；写标签10-50cm可调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输出功率精度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+/- 1dB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输出功率平坦度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+/- 0.2dB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接收灵敏度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 -70dBm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盘存标签峰值速度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&gt; 50张/秒 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标签缓存区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200张标签 @ 96 bit EPC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标签RSSI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TTL Uart接口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通讯波特率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115200 bps（默认并推荐）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38400bps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散热方式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空气冷却(无需外置散热片）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连接器PIN脚定义以及结构图纸</w:t>
      </w:r>
    </w:p>
    <w:p>
      <w:pPr>
        <w:jc w:val="center"/>
        <w:rPr>
          <w:rFonts w:hint="eastAsia"/>
          <w:b/>
        </w:rPr>
      </w:pPr>
    </w:p>
    <w:tbl>
      <w:tblPr>
        <w:tblStyle w:val="7"/>
        <w:tblW w:w="9888" w:type="dxa"/>
        <w:tblInd w:w="828" w:type="dxa"/>
        <w:tblBorders>
          <w:top w:val="single" w:color="7E7E7E" w:themeColor="background1" w:themeShade="7F" w:sz="4" w:space="0"/>
          <w:left w:val="single" w:color="7E7E7E" w:themeColor="background1" w:themeShade="7F" w:sz="4" w:space="0"/>
          <w:bottom w:val="single" w:color="7E7E7E" w:themeColor="background1" w:themeShade="7F" w:sz="4" w:space="0"/>
          <w:right w:val="single" w:color="7E7E7E" w:themeColor="background1" w:themeShade="7F" w:sz="4" w:space="0"/>
          <w:insideH w:val="single" w:color="7E7E7E" w:themeColor="background1" w:themeShade="7F" w:sz="4" w:space="0"/>
          <w:insideV w:val="single" w:color="7E7E7E" w:themeColor="background1" w:themeShade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453"/>
        <w:gridCol w:w="6232"/>
      </w:tblGrid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Helvetica-Bold" w:hAnsi="Helvetica-Bold" w:cs="Helvetica-Bold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Helvetica-Bold" w:hAnsi="Helvetica-Bold" w:cs="Helvetica-Bold"/>
                <w:b/>
                <w:bCs/>
                <w:kern w:val="0"/>
                <w:sz w:val="22"/>
                <w:szCs w:val="22"/>
              </w:rPr>
              <w:t xml:space="preserve">     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158740" cy="2360295"/>
                  <wp:effectExtent l="0" t="0" r="381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740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</w:p>
          <w:p>
            <w:pPr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黑线 --GND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青色线--EN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白色线--模块RX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蓝色线--模块TX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红色线--VCC</w:t>
            </w:r>
          </w:p>
          <w:p>
            <w:pPr>
              <w:jc w:val="left"/>
            </w:pPr>
            <w:bookmarkStart w:id="0" w:name="_GoBack"/>
            <w:bookmarkEnd w:id="0"/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305435</wp:posOffset>
                  </wp:positionV>
                  <wp:extent cx="1831975" cy="1702435"/>
                  <wp:effectExtent l="0" t="0" r="15875" b="12065"/>
                  <wp:wrapTight wrapText="bothSides">
                    <wp:wrapPolygon>
                      <wp:start x="0" y="0"/>
                      <wp:lineTo x="0" y="21270"/>
                      <wp:lineTo x="21338" y="21270"/>
                      <wp:lineTo x="21338" y="0"/>
                      <wp:lineTo x="0" y="0"/>
                    </wp:wrapPolygon>
                  </wp:wrapTight>
                  <wp:docPr id="5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170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PIN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定义</w:t>
            </w:r>
          </w:p>
        </w:tc>
        <w:tc>
          <w:tcPr>
            <w:tcW w:w="62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黑线 --GND</w:t>
            </w:r>
          </w:p>
        </w:tc>
        <w:tc>
          <w:tcPr>
            <w:tcW w:w="6232" w:type="dxa"/>
            <w:tcBorders>
              <w:tl2br w:val="nil"/>
              <w:tr2bl w:val="nil"/>
            </w:tcBorders>
            <w:noWrap w:val="0"/>
            <w:vAlign w:val="top"/>
          </w:tcPr>
          <w:p/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青色线--EN</w:t>
            </w:r>
          </w:p>
        </w:tc>
        <w:tc>
          <w:tcPr>
            <w:tcW w:w="6232" w:type="dxa"/>
            <w:tcBorders>
              <w:tl2br w:val="nil"/>
              <w:tr2bl w:val="nil"/>
            </w:tcBorders>
            <w:noWrap w:val="0"/>
            <w:vAlign w:val="top"/>
          </w:tcPr>
          <w:p>
            <w:r>
              <w:rPr>
                <w:rFonts w:hint="eastAsia"/>
              </w:rPr>
              <w:t>高电平使能模块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白色线--模块RX</w:t>
            </w:r>
          </w:p>
        </w:tc>
        <w:tc>
          <w:tcPr>
            <w:tcW w:w="6232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/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蓝色线--模块TX</w:t>
            </w:r>
          </w:p>
        </w:tc>
        <w:tc>
          <w:tcPr>
            <w:tcW w:w="623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/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5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红色线--VCC</w:t>
            </w:r>
          </w:p>
        </w:tc>
        <w:tc>
          <w:tcPr>
            <w:tcW w:w="62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电源 DC 3.5V-5V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5" w:type="default"/>
      <w:footerReference r:id="rId6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-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B1DEE0"/>
    <w:multiLevelType w:val="singleLevel"/>
    <w:tmpl w:val="FAB1DEE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4557DA6"/>
    <w:rsid w:val="150250A7"/>
    <w:rsid w:val="26216889"/>
    <w:rsid w:val="29AC36FE"/>
    <w:rsid w:val="29AE3FC0"/>
    <w:rsid w:val="2B621049"/>
    <w:rsid w:val="417E5056"/>
    <w:rsid w:val="457A557E"/>
    <w:rsid w:val="47AE078E"/>
    <w:rsid w:val="4DB50956"/>
    <w:rsid w:val="4E9D5FE7"/>
    <w:rsid w:val="525B5F30"/>
    <w:rsid w:val="59B2381B"/>
    <w:rsid w:val="652619AF"/>
    <w:rsid w:val="66A70019"/>
    <w:rsid w:val="7CD56C89"/>
    <w:rsid w:val="7CE96CC2"/>
    <w:rsid w:val="7FC33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2022-02-25T03:10:56Z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649A727919D5487D8DDCE44ED7D206F6</vt:lpwstr>
  </property>
</Properties>
</file>