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RFID固定式</w:t>
            </w: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工业型读写器</w:t>
            </w:r>
          </w:p>
          <w:p>
            <w:pPr>
              <w:pStyle w:val="4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VF-747P</w:t>
            </w:r>
          </w:p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371" w:type="dxa"/>
          </w:tcPr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621790" cy="1315085"/>
                  <wp:effectExtent l="0" t="0" r="8890" b="1079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532890" cy="1266190"/>
                  <wp:effectExtent l="0" t="0" r="6350" b="1397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0115" cy="285115"/>
                  <wp:effectExtent l="0" t="0" r="9525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结构设计：外壳采用高强度压铸铝材，外观专利设计，坚固耐用，满足苛刻工作环境要求；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UHF RFID模块: 采用Indy R2000专用 UHF RFID芯片，具有出色的稳定性和强劲的多标签远距离识别性能；TI ARM嵌入式处理芯片实现高速读取和数据快速运算；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适用标签：全面支持符合EPCglobal UHF Class 1 Gen 2 / ISO 18000-6C/ ISO18000-6B标准的电子标签；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工作频段：工作频率865～868MHZ，902～928MHZ(可按不同的国家或地区要求调整)；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协议支持：支持万全VUP协议，支持ModbusTCP、ModbusRTU协议、支持TCP/UDP协议；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通讯方式：支持十/百兆网口通讯、WiFi\4G（选配）、支持232/485通讯、支持韦根通讯；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通讯接口（GPIO逻辑控制）：采用4路输出控制（支持DC24V/2A，AC120V/2A），2路输入控制；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天线接口：支持4路RFID外接SMA天线接口；独立的WIFI和4G天线接口（WiFi/4G选配）；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供电方式：方式1、支持宽压DC9～24V（3A）供电；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leftChars="0" w:right="0" w:rightChars="0" w:firstLine="1470" w:firstLineChars="7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方式2、也可采用POE供电（只支持百兆1236线序供电）；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功率范围：输出功率达0～33dbm可调，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读/盘模式：支持连续（自动）、命令、触发方式工作模式；数据上报模式：缓存、定时、即时模式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升级方式：1、线下升级：支持RS232；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1260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   2、在线升级：网口、2.4G_WiFi均支持（WIFI选配）；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工作提示：LED指示灯闪烁提示工作状态，及蜂鸣器鸣响方式，方便用户掌控产品的工作状态。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防护：通讯接口带隔离防护、部分关键通讯接口防雷防静电；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认证要求：通过FCC、CE认证，应用满足仓储物流供应链、固定资产管理、交通车辆管理、生产制造等；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温度保护：极寒地区支持温度补偿功能（选配）：</w:t>
      </w:r>
      <w:bookmarkStart w:id="0" w:name="_GoBack"/>
      <w:bookmarkEnd w:id="0"/>
    </w:p>
    <w:p>
      <w:pPr>
        <w:numPr>
          <w:ilvl w:val="0"/>
          <w:numId w:val="0"/>
        </w:numPr>
        <w:ind w:leftChars="100" w:right="0" w:rightChars="0"/>
        <w:jc w:val="center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1749425" cy="998220"/>
            <wp:effectExtent l="0" t="0" r="3175" b="762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614805" cy="986155"/>
            <wp:effectExtent l="0" t="0" r="63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291590" cy="972820"/>
            <wp:effectExtent l="0" t="0" r="3810" b="254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136650" cy="1005840"/>
            <wp:effectExtent l="0" t="0" r="635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AGV车导航                                  物流分拣线                               汽车零部件管理                       机床刀具管理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9264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K6+f3WAAAABwEAAA8AAAAAAAAAAQAgAAAAIgAAAGRycy9k&#10;b3ducmV2LnhtbFBLAQIUABQAAAAIAIdO4kAj8KELywEAAHIDAAAOAAAAAAAAAAEAIAAAACU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VF-747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RF核心芯片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美国英频杰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Indy R2000专用射频芯片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 Global UHF class1 Gen2/ISO 18000-6C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902~928MHz或865~868MHz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0~33dBm±1dBm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＜﹣80dBm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标签识别峰值速度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＞200次/秒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0~25000mm（与读写器参数配置、天线增益、标签类型有关）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0~10000mm（与读写器参数配置、天线增益、标签类型有关）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标签RSSI      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天线连接保护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4个外接SMA天线接口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、RS232、RS485、Wiegand26/34接口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ModbusTCP、ModbusRTU、TCP/UDP协议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 802.11 n/b/g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加热装置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低温自动加热（零下5°）选配（根据项目现场环境确定）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速率9600～115200bps，RJ45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/100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路输入、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提供API开发包及C和Java应用例程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(宽)*3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工作电压DC9~24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、超级网口版本支持POE供电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最大功耗3W，最大启动电流1A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约1.32kg（整套）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常温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合规性认证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FCC认证、CE认证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   产品尺寸图：</w:t>
      </w:r>
    </w:p>
    <w:p>
      <w:pPr>
        <w:pStyle w:val="4"/>
        <w:rPr>
          <w:rFonts w:hint="default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      </w:t>
      </w:r>
      <w:r>
        <w:drawing>
          <wp:inline distT="0" distB="0" distL="114300" distR="114300">
            <wp:extent cx="7049770" cy="5147945"/>
            <wp:effectExtent l="0" t="0" r="1778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default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-36195</wp:posOffset>
                </wp:positionV>
                <wp:extent cx="822960" cy="412115"/>
                <wp:effectExtent l="0" t="0" r="15240" b="6985"/>
                <wp:wrapTopAndBottom/>
                <wp:docPr id="4" name="图片 11" descr="万全logo（200X100像素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11" descr="万全logo（200X100像素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地址：广东省深圳市龙华区清湖工业区清宁路富安娜工业园B栋4楼401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76200</wp:posOffset>
          </wp:positionV>
          <wp:extent cx="822960" cy="412115"/>
          <wp:effectExtent l="0" t="0" r="15240" b="6985"/>
          <wp:wrapTopAndBottom/>
          <wp:docPr id="15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double" w:color="969696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0B3C"/>
    <w:rsid w:val="01F26A7E"/>
    <w:rsid w:val="026B2BED"/>
    <w:rsid w:val="02C13E99"/>
    <w:rsid w:val="034C7BE9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C6A2078"/>
    <w:rsid w:val="0E4D37C2"/>
    <w:rsid w:val="0EFE33EA"/>
    <w:rsid w:val="0F576C78"/>
    <w:rsid w:val="10447EFF"/>
    <w:rsid w:val="13344B59"/>
    <w:rsid w:val="1450443D"/>
    <w:rsid w:val="150250A7"/>
    <w:rsid w:val="1C0A69CA"/>
    <w:rsid w:val="24A00B9E"/>
    <w:rsid w:val="26216889"/>
    <w:rsid w:val="265249E6"/>
    <w:rsid w:val="29AE3FC0"/>
    <w:rsid w:val="2CC032B9"/>
    <w:rsid w:val="2D1C2F1A"/>
    <w:rsid w:val="2DA6344F"/>
    <w:rsid w:val="2EDF1AAB"/>
    <w:rsid w:val="33E01D77"/>
    <w:rsid w:val="34207D4A"/>
    <w:rsid w:val="34B31112"/>
    <w:rsid w:val="361E69D2"/>
    <w:rsid w:val="37022AD9"/>
    <w:rsid w:val="382767D1"/>
    <w:rsid w:val="3A362829"/>
    <w:rsid w:val="3A9600C7"/>
    <w:rsid w:val="3B160BD5"/>
    <w:rsid w:val="3D8E19D2"/>
    <w:rsid w:val="3D8E1F35"/>
    <w:rsid w:val="40845BE9"/>
    <w:rsid w:val="42E636A1"/>
    <w:rsid w:val="42F676D7"/>
    <w:rsid w:val="436C1C33"/>
    <w:rsid w:val="452C17AF"/>
    <w:rsid w:val="45CC548B"/>
    <w:rsid w:val="466713F5"/>
    <w:rsid w:val="493655D7"/>
    <w:rsid w:val="4A682C4E"/>
    <w:rsid w:val="4CA11035"/>
    <w:rsid w:val="4D063438"/>
    <w:rsid w:val="4DB50956"/>
    <w:rsid w:val="4E0D2857"/>
    <w:rsid w:val="4E682971"/>
    <w:rsid w:val="4ED1422A"/>
    <w:rsid w:val="4FAD1B63"/>
    <w:rsid w:val="50F116D7"/>
    <w:rsid w:val="51714130"/>
    <w:rsid w:val="525B5F30"/>
    <w:rsid w:val="529665AC"/>
    <w:rsid w:val="53812830"/>
    <w:rsid w:val="58096E06"/>
    <w:rsid w:val="58F71D33"/>
    <w:rsid w:val="59B2381B"/>
    <w:rsid w:val="5A543623"/>
    <w:rsid w:val="5C230A89"/>
    <w:rsid w:val="5CC82270"/>
    <w:rsid w:val="5D4F325F"/>
    <w:rsid w:val="61A67218"/>
    <w:rsid w:val="624654BB"/>
    <w:rsid w:val="652619AF"/>
    <w:rsid w:val="6A790377"/>
    <w:rsid w:val="6CE43BCD"/>
    <w:rsid w:val="6DB83354"/>
    <w:rsid w:val="6F111E84"/>
    <w:rsid w:val="720A29DC"/>
    <w:rsid w:val="723824F9"/>
    <w:rsid w:val="73285432"/>
    <w:rsid w:val="73D36179"/>
    <w:rsid w:val="74061CBE"/>
    <w:rsid w:val="74BC65CD"/>
    <w:rsid w:val="7589341C"/>
    <w:rsid w:val="77607091"/>
    <w:rsid w:val="77796B00"/>
    <w:rsid w:val="7956142C"/>
    <w:rsid w:val="7A790C72"/>
    <w:rsid w:val="7CE96CC2"/>
    <w:rsid w:val="7E021347"/>
    <w:rsid w:val="7E560661"/>
    <w:rsid w:val="7F1F3A25"/>
    <w:rsid w:val="7FED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2021-08-16T06:22:47Z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0957D802775B425C843B93339186A587</vt:lpwstr>
  </property>
</Properties>
</file>