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eastAsia="zh-CN"/>
              </w:rPr>
              <w:t>多功能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桌面式阅读器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VD-6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8</w:t>
            </w:r>
          </w:p>
          <w:p>
            <w:pPr>
              <w:pStyle w:val="3"/>
              <w:ind w:firstLine="600" w:firstLineChars="300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15875</wp:posOffset>
                  </wp:positionV>
                  <wp:extent cx="1700530" cy="1438275"/>
                  <wp:effectExtent l="0" t="0" r="13970" b="9525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3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distT="0" distB="0" distL="114300" distR="114300">
                  <wp:extent cx="1177290" cy="815975"/>
                  <wp:effectExtent l="0" t="0" r="3810" b="317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3"/>
              <w:spacing w:line="360" w:lineRule="auto"/>
              <w:jc w:val="center"/>
            </w:pPr>
            <w:r>
              <w:drawing>
                <wp:inline distT="0" distB="0" distL="114300" distR="114300">
                  <wp:extent cx="1337310" cy="623570"/>
                  <wp:effectExtent l="0" t="0" r="15240" b="508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623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外壳采用铝合金与亚力克面板材质，高档耐用；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支持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TCP/IP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RS485、RS232、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无线通讯（蓝牙、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wifi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）通讯方式；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全面支持符合支持符合ISO-18000-6B、ISO-18000-6C（EPC G2）、TK900）标准；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工作频率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865-868Mhz或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902-928M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hz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(可按不同的国家或地区要求调整)；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读写卡灵敏，效率高、速度快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,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可以进行读卡、写卡、授权、格式化、盘点等操作</w:t>
      </w: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;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安装方式：放置桌面、悬挂于墙面、嵌入台面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0"/>
          <w:sz w:val="21"/>
          <w:szCs w:val="21"/>
          <w:lang w:val="en-US" w:eastAsia="zh-CN"/>
        </w:rPr>
        <w:t>等</w:t>
      </w:r>
    </w:p>
    <w:p>
      <w:pPr>
        <w:widowControl/>
        <w:numPr>
          <w:ilvl w:val="0"/>
          <w:numId w:val="1"/>
        </w:numPr>
        <w:spacing w:line="270" w:lineRule="atLeast"/>
        <w:ind w:left="845" w:leftChars="0" w:right="0" w:rightChars="0" w:hanging="425"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21"/>
          <w:szCs w:val="21"/>
          <w:lang w:eastAsia="zh-CN"/>
        </w:rPr>
        <w:t>应用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领域：在俱乐部、图书馆、学生学籍、消费管理、考勤管理、就餐管理、泳池管理等系统都得到了广泛的使用。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9"/>
        <w:tblW w:w="10136" w:type="dxa"/>
        <w:tblInd w:w="471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8076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产品型号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</w:rPr>
              <w:t>VD-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auto"/>
                <w:sz w:val="18"/>
                <w:szCs w:val="18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频率范围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902-928MHZ（随国家或地区不同可以调整）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调频方式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tabs>
                <w:tab w:val="left" w:pos="5657"/>
              </w:tabs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广谱调频（FHSS）或定频，可软件设置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天线数量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内置天线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通讯接口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Tcp/ip、RS232串口、维根通讯、RS485通讯方式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eastAsia="zh-CN"/>
              </w:rPr>
              <w:t>或无线通讯（选配）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应用软件接口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提供动态连接库（DLL），支持二次开发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标 签 操 作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读取距离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内建收发天线，读取距离&gt;50cm，写入距离&gt;30cm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空中接口协议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支持符合ISO-18000-6B、ISO-18000-6C（EPC G2）、TK900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136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机 械 电 气 性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尺寸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(长)*13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电源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DC12V/3A电源适配器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重量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00g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湿度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防护等级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IEC IP52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工作温度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-20 ºC to +60  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60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存储温度</w:t>
            </w:r>
          </w:p>
        </w:tc>
        <w:tc>
          <w:tcPr>
            <w:tcW w:w="8076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-40°C to 80°C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C578"/>
    <w:multiLevelType w:val="singleLevel"/>
    <w:tmpl w:val="441FC578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84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A0F45"/>
    <w:rsid w:val="09550008"/>
    <w:rsid w:val="0BB126C2"/>
    <w:rsid w:val="0EF47000"/>
    <w:rsid w:val="150250A7"/>
    <w:rsid w:val="236444C6"/>
    <w:rsid w:val="26216889"/>
    <w:rsid w:val="29AE3FC0"/>
    <w:rsid w:val="44264ABB"/>
    <w:rsid w:val="457A557E"/>
    <w:rsid w:val="4DB50956"/>
    <w:rsid w:val="525B5F30"/>
    <w:rsid w:val="59B2381B"/>
    <w:rsid w:val="63346FF1"/>
    <w:rsid w:val="652619AF"/>
    <w:rsid w:val="738F7E47"/>
    <w:rsid w:val="7CE96CC2"/>
    <w:rsid w:val="7D541C1A"/>
    <w:rsid w:val="7E233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Table Grid 8"/>
    <w:basedOn w:val="7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Layout w:type="fixed"/>
    </w:tblPr>
    <w:tcPr>
      <w:shd w:val="clear" w:color="auto" w:fill="auto"/>
    </w:tcPr>
    <w:tblStylePr w:type="firstRow">
      <w:rPr>
        <w:b/>
        <w:bCs/>
        <w:color w:val="FFFFFF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1">
    <w:name w:val="Strong"/>
    <w:qFormat/>
    <w:uiPriority w:val="22"/>
    <w:rPr>
      <w:b/>
    </w:rPr>
  </w:style>
  <w:style w:type="table" w:customStyle="1" w:styleId="12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2020-06-20T07:53:26Z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