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50" w:type="dxa"/>
        <w:tblInd w:w="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2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02" w:type="dxa"/>
          </w:tcPr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w w:val="102"/>
                <w:kern w:val="0"/>
                <w:position w:val="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w w:val="102"/>
                <w:kern w:val="0"/>
                <w:position w:val="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w w:val="102"/>
                <w:kern w:val="0"/>
                <w:position w:val="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车辆前挡玻璃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w w:val="102"/>
                <w:kern w:val="0"/>
                <w:position w:val="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防撕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w w:val="102"/>
                <w:kern w:val="0"/>
                <w:position w:val="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标签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w w:val="102"/>
                <w:kern w:val="0"/>
                <w:position w:val="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w w:val="102"/>
                <w:kern w:val="0"/>
                <w:position w:val="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LA-97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rPr>
                <w:rFonts w:ascii="Arial" w:hAnsi="Arial" w:cs="Arial"/>
                <w:sz w:val="18"/>
                <w:szCs w:val="18"/>
              </w:rPr>
              <w:drawing>
                <wp:inline distT="0" distB="0" distL="114300" distR="114300">
                  <wp:extent cx="1393190" cy="1290320"/>
                  <wp:effectExtent l="0" t="0" r="16510" b="5080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29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drawing>
                <wp:inline distT="0" distB="0" distL="114300" distR="114300">
                  <wp:extent cx="1235075" cy="1287145"/>
                  <wp:effectExtent l="0" t="0" r="3175" b="8255"/>
                  <wp:docPr id="1" name="图片 1" descr="LA-97防伪电子车牌标签 拷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LA-97防伪电子车牌标签 拷贝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12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简单介绍：</w:t>
      </w:r>
    </w:p>
    <w:p>
      <w:pPr>
        <w:numPr>
          <w:ilvl w:val="0"/>
          <w:numId w:val="1"/>
        </w:numPr>
        <w:tabs>
          <w:tab w:val="left" w:pos="420"/>
          <w:tab w:val="clear" w:pos="840"/>
        </w:tabs>
        <w:ind w:left="126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基于自主知识产权开发，标签适应</w:t>
      </w:r>
      <w:bookmarkStart w:id="0" w:name="_GoBack"/>
      <w:bookmarkEnd w:id="0"/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全球频段工作设定</w:t>
      </w:r>
    </w:p>
    <w:p>
      <w:pPr>
        <w:numPr>
          <w:ilvl w:val="0"/>
          <w:numId w:val="1"/>
        </w:numPr>
        <w:tabs>
          <w:tab w:val="left" w:pos="420"/>
          <w:tab w:val="clear" w:pos="840"/>
        </w:tabs>
        <w:ind w:left="126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线极化设计在特定方向具有超高读取率、标签识别灵敏度高</w:t>
      </w:r>
    </w:p>
    <w:p>
      <w:pPr>
        <w:numPr>
          <w:ilvl w:val="0"/>
          <w:numId w:val="1"/>
        </w:numPr>
        <w:tabs>
          <w:tab w:val="left" w:pos="420"/>
          <w:tab w:val="clear" w:pos="840"/>
        </w:tabs>
        <w:ind w:left="126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防伪性能高，拥有合球唯一识别码（TID码）</w:t>
      </w:r>
    </w:p>
    <w:p>
      <w:pPr>
        <w:numPr>
          <w:ilvl w:val="0"/>
          <w:numId w:val="1"/>
        </w:numPr>
        <w:tabs>
          <w:tab w:val="left" w:pos="420"/>
          <w:tab w:val="clear" w:pos="840"/>
        </w:tabs>
        <w:ind w:left="126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广泛应用于玻璃制品的资产管理、车辆年检标、车辆检测标识、车辆通行证等</w:t>
      </w:r>
    </w:p>
    <w:p>
      <w:pPr>
        <w:pStyle w:val="3"/>
        <w:widowControl w:val="0"/>
        <w:numPr>
          <w:ilvl w:val="0"/>
          <w:numId w:val="0"/>
        </w:numPr>
        <w:tabs>
          <w:tab w:val="left" w:pos="3571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ab/>
      </w:r>
    </w:p>
    <w:p>
      <w:pPr>
        <w:pStyle w:val="3"/>
        <w:tabs>
          <w:tab w:val="left" w:pos="4288"/>
        </w:tabs>
        <w:ind w:leftChars="10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ab/>
      </w:r>
    </w:p>
    <w:tbl>
      <w:tblPr>
        <w:tblStyle w:val="7"/>
        <w:tblW w:w="9878" w:type="dxa"/>
        <w:jc w:val="center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7346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878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产品型号(订购代码)</w:t>
            </w:r>
          </w:p>
        </w:tc>
        <w:tc>
          <w:tcPr>
            <w:tcW w:w="73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LA-97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878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协议</w:t>
            </w:r>
          </w:p>
        </w:tc>
        <w:tc>
          <w:tcPr>
            <w:tcW w:w="73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EPC CLASS1 Gen 2 / ISO 18000-6C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芯片</w:t>
            </w:r>
          </w:p>
        </w:tc>
        <w:tc>
          <w:tcPr>
            <w:tcW w:w="73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autoSpaceDE/>
              <w:autoSpaceDN/>
              <w:adjustRightInd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Alien Higgs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eastAsia="zh-CN"/>
              </w:rPr>
              <w:t>系列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 xml:space="preserve"> / IMPINJ  Monza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eastAsia="zh-CN"/>
              </w:rPr>
              <w:t>系列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/ NXP （根据客户要求）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工作频率</w:t>
            </w:r>
          </w:p>
        </w:tc>
        <w:tc>
          <w:tcPr>
            <w:tcW w:w="73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860—960MHZ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存储容量</w:t>
            </w:r>
          </w:p>
        </w:tc>
        <w:tc>
          <w:tcPr>
            <w:tcW w:w="73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  <w:t>96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bit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可扩展至512bit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尺寸</w:t>
            </w:r>
          </w:p>
        </w:tc>
        <w:tc>
          <w:tcPr>
            <w:tcW w:w="73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110*40mm(可定制)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读取距离</w:t>
            </w:r>
          </w:p>
        </w:tc>
        <w:tc>
          <w:tcPr>
            <w:tcW w:w="73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15m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 xml:space="preserve"> (与读写器性能及工作环境有关)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工作模式</w:t>
            </w:r>
          </w:p>
        </w:tc>
        <w:tc>
          <w:tcPr>
            <w:tcW w:w="73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存储时间</w:t>
            </w:r>
          </w:p>
        </w:tc>
        <w:tc>
          <w:tcPr>
            <w:tcW w:w="73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可擦写次数</w:t>
            </w:r>
          </w:p>
        </w:tc>
        <w:tc>
          <w:tcPr>
            <w:tcW w:w="73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工作温度</w:t>
            </w:r>
          </w:p>
        </w:tc>
        <w:tc>
          <w:tcPr>
            <w:tcW w:w="73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-20℃~+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5℃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存储温度</w:t>
            </w:r>
          </w:p>
        </w:tc>
        <w:tc>
          <w:tcPr>
            <w:tcW w:w="73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-40℃~+100℃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材质</w:t>
            </w:r>
          </w:p>
        </w:tc>
        <w:tc>
          <w:tcPr>
            <w:tcW w:w="73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铜板纸 / PET 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eastAsia="zh-CN"/>
              </w:rPr>
              <w:t>薄膜特殊易碎纸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安装方式</w:t>
            </w:r>
          </w:p>
        </w:tc>
        <w:tc>
          <w:tcPr>
            <w:tcW w:w="73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带背胶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应用领域</w:t>
            </w:r>
          </w:p>
        </w:tc>
        <w:tc>
          <w:tcPr>
            <w:tcW w:w="73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车辆出入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eastAsia="zh-CN"/>
              </w:rPr>
              <w:t>管理、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高速不停车收费管理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9D7887"/>
    <w:multiLevelType w:val="singleLevel"/>
    <w:tmpl w:val="9C9D7887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3FA2BE2"/>
    <w:rsid w:val="143E5AC7"/>
    <w:rsid w:val="150250A7"/>
    <w:rsid w:val="19946240"/>
    <w:rsid w:val="26216889"/>
    <w:rsid w:val="29AE3FC0"/>
    <w:rsid w:val="2CA219A3"/>
    <w:rsid w:val="499C60AC"/>
    <w:rsid w:val="4DB50956"/>
    <w:rsid w:val="525B5F30"/>
    <w:rsid w:val="59B2381B"/>
    <w:rsid w:val="652619AF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qFormat/>
    <w:uiPriority w:val="0"/>
    <w:rPr>
      <w:color w:val="428BCA"/>
      <w:u w:val="none"/>
    </w:rPr>
  </w:style>
  <w:style w:type="character" w:styleId="12">
    <w:name w:val="HTML Definition"/>
    <w:basedOn w:val="9"/>
    <w:qFormat/>
    <w:uiPriority w:val="0"/>
    <w:rPr>
      <w:i/>
    </w:rPr>
  </w:style>
  <w:style w:type="character" w:styleId="13">
    <w:name w:val="Hyperlink"/>
    <w:basedOn w:val="9"/>
    <w:uiPriority w:val="0"/>
    <w:rPr>
      <w:color w:val="428BCA"/>
      <w:u w:val="none"/>
    </w:rPr>
  </w:style>
  <w:style w:type="character" w:styleId="14">
    <w:name w:val="HTML Code"/>
    <w:basedOn w:val="9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5">
    <w:name w:val="HTML Cite"/>
    <w:basedOn w:val="9"/>
    <w:qFormat/>
    <w:uiPriority w:val="0"/>
  </w:style>
  <w:style w:type="character" w:styleId="16">
    <w:name w:val="HTML Keyboard"/>
    <w:basedOn w:val="9"/>
    <w:uiPriority w:val="0"/>
    <w:rPr>
      <w:rFonts w:ascii="Consolas" w:hAnsi="Consolas" w:eastAsia="Consolas" w:cs="Consolas"/>
      <w:sz w:val="21"/>
      <w:szCs w:val="21"/>
    </w:rPr>
  </w:style>
  <w:style w:type="character" w:styleId="17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table" w:customStyle="1" w:styleId="1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9">
    <w:name w:val="List Paragraph"/>
    <w:basedOn w:val="1"/>
    <w:qFormat/>
    <w:uiPriority w:val="1"/>
    <w:rPr>
      <w:lang w:val="en-US" w:eastAsia="en-US" w:bidi="en-US"/>
    </w:rPr>
  </w:style>
  <w:style w:type="paragraph" w:customStyle="1" w:styleId="20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2020-10-13T09:25:15Z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