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13" w:type="dxa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7"/>
        <w:gridCol w:w="5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257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方形塑料周装箱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VT-7058</w:t>
            </w:r>
          </w:p>
        </w:tc>
        <w:tc>
          <w:tcPr>
            <w:tcW w:w="5256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inline distT="0" distB="0" distL="114300" distR="114300">
                  <wp:extent cx="2425700" cy="1942465"/>
                  <wp:effectExtent l="0" t="0" r="1270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194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 w:firstLine="420" w:firstLineChars="200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在物流管理、资产盘点越来越被广大企业重视的今天，电子标签帮助完成资产盘点、物流容器的通用化、一体化管理，是生产及流通 企业进行现代化物流管理的必备品；托盘管理、资产管理、周转箱记录、盘点管理，车辆标识等项目应用。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035" w:type="dxa"/>
        <w:jc w:val="center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VT-7058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性能参数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EPC CLASS1 Gen 2/ISO 18000-6C、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20"/>
                <w:sz w:val="21"/>
                <w:szCs w:val="21"/>
              </w:rPr>
              <w:t>ISO14443A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UHF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HF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I Code 2/S50/S70/F08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hz及HF高频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13.56M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/HF高频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1k bit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UHF读取距离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15m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HF读取距离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cm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尺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 xml:space="preserve">（带孔长边）70*58*4.5M 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基片材料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采用工程塑料作为 tag 载体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12 g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其他参数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适用温度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-40-80 度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IP65（可在室外环境使用）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固定方式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孔位固定，自带不干胶（可定制）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可丝刷、喷码、激光刻字等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出货方式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单片，盒装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托盘管理、资产管理、周转箱记录、盘点管理，车辆标识等项目应用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FF3EF2"/>
    <w:rsid w:val="09550008"/>
    <w:rsid w:val="0BB126C2"/>
    <w:rsid w:val="150250A7"/>
    <w:rsid w:val="18A35EC2"/>
    <w:rsid w:val="230A18C6"/>
    <w:rsid w:val="25AB230C"/>
    <w:rsid w:val="26216889"/>
    <w:rsid w:val="29AE3FC0"/>
    <w:rsid w:val="2F437547"/>
    <w:rsid w:val="303B2B64"/>
    <w:rsid w:val="33AF0566"/>
    <w:rsid w:val="375D1807"/>
    <w:rsid w:val="39E32D40"/>
    <w:rsid w:val="4D4B6D54"/>
    <w:rsid w:val="4DB50956"/>
    <w:rsid w:val="4FF97A81"/>
    <w:rsid w:val="525B5F30"/>
    <w:rsid w:val="59B2381B"/>
    <w:rsid w:val="5D275154"/>
    <w:rsid w:val="652619AF"/>
    <w:rsid w:val="6BBB1242"/>
    <w:rsid w:val="76B92964"/>
    <w:rsid w:val="7BCD0B70"/>
    <w:rsid w:val="7D5D1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