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-13970</wp:posOffset>
            </wp:positionV>
            <wp:extent cx="3265805" cy="2308860"/>
            <wp:effectExtent l="0" t="0" r="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42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9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纽扣圆形电子标签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VT-3002</w:t>
            </w:r>
          </w:p>
          <w:bookmarkEnd w:id="0"/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kern w:val="0"/>
          <w:sz w:val="18"/>
        </w:rPr>
        <w:t>VT-3002纽扣圆形只读有源电子标签主要针对人员及资产管理设计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标签ID号8个字节；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标签ID号8个字节；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具有只读型；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可换电池；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防水等级：IP65；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标签寿命长；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工作温度范围宽；</w:t>
      </w:r>
    </w:p>
    <w:p>
      <w:pPr>
        <w:pStyle w:val="3"/>
        <w:numPr>
          <w:ilvl w:val="0"/>
          <w:numId w:val="0"/>
        </w:numPr>
        <w:ind w:right="0" w:rightChars="0" w:firstLine="360" w:firstLineChars="200"/>
        <w:jc w:val="both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读取距离远 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产品参数:</w:t>
      </w:r>
    </w:p>
    <w:tbl>
      <w:tblPr>
        <w:tblStyle w:val="7"/>
        <w:tblpPr w:leftFromText="180" w:rightFromText="180" w:vertAnchor="text" w:horzAnchor="page" w:tblpX="1042" w:tblpY="308"/>
        <w:tblOverlap w:val="never"/>
        <w:tblW w:w="99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产品型号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VT-3002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工作频率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2.4GHz-2.5GHz(出厂设置)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工作方式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主动式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内置电池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3V(1节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CR2450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静态(待机)工作电流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&lt; 1uA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最大工作电流（发射信号）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&lt;15mA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发射时间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0.25ms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读取方式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只读性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读写距离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0－250米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5年（理论值）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查询时间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冲撞能力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具有很强的防冲撞能力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读卡能力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能够同时读取卡的数量&gt;2000张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-25 ～70℃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储存温度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-40 ～85℃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小于95%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7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35mm×10mm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B50007"/>
    <w:rsid w:val="14557DA6"/>
    <w:rsid w:val="150250A7"/>
    <w:rsid w:val="20AA630A"/>
    <w:rsid w:val="21F94ED5"/>
    <w:rsid w:val="26216889"/>
    <w:rsid w:val="29AC36FE"/>
    <w:rsid w:val="29AE3FC0"/>
    <w:rsid w:val="457A557E"/>
    <w:rsid w:val="4DB50956"/>
    <w:rsid w:val="525B5F30"/>
    <w:rsid w:val="59B2381B"/>
    <w:rsid w:val="5D6639EB"/>
    <w:rsid w:val="652619AF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