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rPr>
                <w:rFonts w:hint="eastAsia" w:ascii="微软雅黑" w:hAnsi="微软雅黑" w:eastAsia="微软雅黑" w:cs="微软雅黑"/>
                <w:b/>
                <w:bCs/>
                <w:color w:val="D70C19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kern w:val="0"/>
                <w:sz w:val="44"/>
                <w:szCs w:val="44"/>
              </w:rPr>
              <w:t>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kern w:val="0"/>
                <w:sz w:val="44"/>
                <w:szCs w:val="44"/>
                <w:lang w:eastAsia="zh-CN"/>
              </w:rPr>
              <w:t>双馈点</w:t>
            </w:r>
          </w:p>
          <w:p>
            <w:pPr>
              <w:pStyle w:val="3"/>
              <w:rPr>
                <w:rFonts w:hint="eastAsia" w:ascii="微软雅黑" w:hAnsi="微软雅黑" w:eastAsia="微软雅黑" w:cs="微软雅黑"/>
                <w:b/>
                <w:bCs/>
                <w:color w:val="D70C19"/>
                <w:kern w:val="0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kern w:val="0"/>
                <w:sz w:val="44"/>
                <w:szCs w:val="44"/>
              </w:rPr>
              <w:t>陶瓷天线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微软雅黑" w:hAnsi="微软雅黑" w:eastAsia="微软雅黑" w:cs="微软雅黑"/>
                <w:color w:val="D70C19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kern w:val="0"/>
                <w:sz w:val="44"/>
                <w:szCs w:val="44"/>
              </w:rPr>
              <w:t>VA-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kern w:val="0"/>
                <w:sz w:val="44"/>
                <w:szCs w:val="44"/>
                <w:lang w:val="en-US" w:eastAsia="zh-CN"/>
              </w:rPr>
              <w:t>91A</w:t>
            </w:r>
          </w:p>
          <w:p>
            <w:pPr>
              <w:pStyle w:val="3"/>
              <w:ind w:firstLine="600" w:firstLineChars="300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745615" cy="1830070"/>
                  <wp:effectExtent l="0" t="0" r="6985" b="177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83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numPr>
          <w:ilvl w:val="0"/>
          <w:numId w:val="0"/>
        </w:numPr>
        <w:ind w:leftChars="0" w:right="0" w:rightChars="0" w:firstLine="180" w:firstLineChars="100"/>
        <w:jc w:val="both"/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超高频圆极化天线 具有RHCP三种极化方式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;</w:t>
      </w:r>
      <w:bookmarkStart w:id="0" w:name="_GoBack"/>
      <w:bookmarkEnd w:id="0"/>
    </w:p>
    <w:p>
      <w:pPr>
        <w:autoSpaceDE w:val="0"/>
        <w:autoSpaceDN w:val="0"/>
        <w:adjustRightInd w:val="0"/>
        <w:ind w:firstLine="180" w:firstLineChars="100"/>
        <w:jc w:val="left"/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体积微小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重量轻，尺寸紧凑结识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;</w:t>
      </w:r>
    </w:p>
    <w:p>
      <w:pPr>
        <w:autoSpaceDE w:val="0"/>
        <w:autoSpaceDN w:val="0"/>
        <w:adjustRightInd w:val="0"/>
        <w:ind w:firstLine="180" w:firstLineChars="10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与平台交互低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;</w:t>
      </w:r>
    </w:p>
    <w:p>
      <w:pPr>
        <w:autoSpaceDE w:val="0"/>
        <w:autoSpaceDN w:val="0"/>
        <w:adjustRightInd w:val="0"/>
        <w:ind w:firstLine="180" w:firstLineChars="10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接近用户时产生的失谐可以忽略不计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;</w:t>
      </w:r>
    </w:p>
    <w:p>
      <w:pPr>
        <w:autoSpaceDE w:val="0"/>
        <w:autoSpaceDN w:val="0"/>
        <w:adjustRightInd w:val="0"/>
        <w:ind w:firstLine="180" w:firstLineChars="10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开发容易并省时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.</w:t>
      </w: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</w:t>
      </w:r>
      <w:r>
        <w:drawing>
          <wp:inline distT="0" distB="0" distL="114300" distR="114300">
            <wp:extent cx="5483860" cy="2774315"/>
            <wp:effectExtent l="0" t="0" r="2540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7"/>
        <w:tblW w:w="9935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7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540" w:firstLineChars="300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VA-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性 能 参 数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宋体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类型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微带陶瓷天线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频率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922.5MHz±8MHz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极化方式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RHCP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峰值增益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波瓣宽度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&gt;16.0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驻波比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1.5:1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轴比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&lt;2.0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4557DA6"/>
    <w:rsid w:val="150250A7"/>
    <w:rsid w:val="187B1EFB"/>
    <w:rsid w:val="26216889"/>
    <w:rsid w:val="29AC36FE"/>
    <w:rsid w:val="29AE3FC0"/>
    <w:rsid w:val="2A485C3E"/>
    <w:rsid w:val="42000D67"/>
    <w:rsid w:val="44705096"/>
    <w:rsid w:val="457A557E"/>
    <w:rsid w:val="4DB50956"/>
    <w:rsid w:val="525B5F30"/>
    <w:rsid w:val="59B2381B"/>
    <w:rsid w:val="652619AF"/>
    <w:rsid w:val="7139587F"/>
    <w:rsid w:val="7685423D"/>
    <w:rsid w:val="7CD56C8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2020-07-29T06:42:53Z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