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板状天线</w:t>
            </w:r>
          </w:p>
          <w:p>
            <w:pPr>
              <w:jc w:val="both"/>
              <w:rPr>
                <w:rFonts w:hint="default" w:ascii="Verdana" w:hAnsi="Verdana" w:eastAsia="微软雅黑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9121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025525" cy="1992630"/>
                  <wp:effectExtent l="0" t="0" r="3175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4595" cy="1815465"/>
                  <wp:effectExtent l="0" t="0" r="14605" b="1333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spacing w:line="270" w:lineRule="atLeast"/>
        <w:ind w:leftChars="200"/>
        <w:jc w:val="left"/>
        <w:rPr>
          <w:rFonts w:hint="eastAsia" w:ascii="宋体" w:hAnsi="宋体" w:cs="Arial"/>
          <w:kern w:val="0"/>
          <w:sz w:val="21"/>
          <w:szCs w:val="21"/>
        </w:rPr>
      </w:pPr>
      <w:r>
        <w:rPr>
          <w:rFonts w:hint="eastAsia" w:ascii="宋体" w:hAnsi="宋体" w:eastAsia="宋体" w:cs="Arial"/>
          <w:sz w:val="21"/>
          <w:szCs w:val="21"/>
          <w:lang w:val="en-US" w:eastAsia="zh-CN"/>
        </w:rPr>
        <w:t>1、</w:t>
      </w:r>
      <w:r>
        <w:rPr>
          <w:rFonts w:ascii="宋体" w:hAnsi="宋体" w:cs="Arial"/>
          <w:sz w:val="21"/>
          <w:szCs w:val="21"/>
        </w:rPr>
        <w:t xml:space="preserve"> </w:t>
      </w:r>
      <w:r>
        <w:rPr>
          <w:rFonts w:hint="eastAsia" w:ascii="宋体" w:hAnsi="宋体" w:cs="Arial"/>
          <w:sz w:val="21"/>
          <w:szCs w:val="21"/>
        </w:rPr>
        <w:t>天线增益12</w:t>
      </w:r>
      <w:r>
        <w:rPr>
          <w:rFonts w:hint="eastAsia" w:ascii="宋体" w:hAnsi="宋体"/>
          <w:spacing w:val="20"/>
          <w:sz w:val="21"/>
          <w:szCs w:val="21"/>
        </w:rPr>
        <w:t>dBi，具有多极化选择；</w:t>
      </w:r>
    </w:p>
    <w:p>
      <w:pPr>
        <w:widowControl/>
        <w:spacing w:line="270" w:lineRule="atLeast"/>
        <w:ind w:leftChars="200"/>
        <w:jc w:val="left"/>
        <w:rPr>
          <w:rFonts w:hint="eastAsia" w:ascii="宋体" w:hAnsi="宋体" w:cs="Arial"/>
          <w:sz w:val="21"/>
          <w:szCs w:val="21"/>
        </w:rPr>
      </w:pPr>
      <w:r>
        <w:rPr>
          <w:rFonts w:hint="eastAsia" w:ascii="宋体" w:hAnsi="宋体" w:eastAsia="宋体" w:cs="Arial"/>
          <w:sz w:val="21"/>
          <w:szCs w:val="21"/>
          <w:lang w:val="en-US" w:eastAsia="zh-CN"/>
        </w:rPr>
        <w:t>2、</w:t>
      </w:r>
      <w:r>
        <w:rPr>
          <w:rFonts w:ascii="宋体" w:hAnsi="宋体" w:cs="Arial"/>
          <w:sz w:val="21"/>
          <w:szCs w:val="21"/>
        </w:rPr>
        <w:t>工作频率902</w:t>
      </w:r>
      <w:r>
        <w:rPr>
          <w:rFonts w:hint="eastAsia" w:ascii="宋体" w:hAnsi="宋体" w:cs="Arial"/>
          <w:sz w:val="21"/>
          <w:szCs w:val="21"/>
        </w:rPr>
        <w:t>-</w:t>
      </w:r>
      <w:r>
        <w:rPr>
          <w:rFonts w:ascii="宋体" w:hAnsi="宋体" w:cs="Arial"/>
          <w:sz w:val="21"/>
          <w:szCs w:val="21"/>
        </w:rPr>
        <w:t>928MHZ</w:t>
      </w:r>
      <w:r>
        <w:rPr>
          <w:rFonts w:hint="eastAsia" w:ascii="宋体" w:hAnsi="宋体" w:cs="Arial"/>
          <w:sz w:val="21"/>
          <w:szCs w:val="21"/>
        </w:rPr>
        <w:t>或865-869</w:t>
      </w:r>
      <w:r>
        <w:rPr>
          <w:rFonts w:ascii="宋体" w:hAnsi="宋体" w:cs="Arial"/>
          <w:sz w:val="21"/>
          <w:szCs w:val="21"/>
        </w:rPr>
        <w:t>MH(可按不同的国家或地区要求调整)；</w:t>
      </w:r>
    </w:p>
    <w:p>
      <w:pPr>
        <w:widowControl/>
        <w:spacing w:line="270" w:lineRule="atLeast"/>
        <w:ind w:leftChars="200"/>
        <w:jc w:val="left"/>
        <w:rPr>
          <w:rFonts w:hint="eastAsia" w:ascii="宋体" w:hAnsi="宋体" w:cs="Arial"/>
          <w:kern w:val="0"/>
          <w:sz w:val="21"/>
          <w:szCs w:val="21"/>
        </w:rPr>
      </w:pPr>
      <w:r>
        <w:rPr>
          <w:rFonts w:hint="eastAsia" w:ascii="宋体" w:hAnsi="宋体" w:eastAsia="宋体" w:cs="Arial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cs="Arial"/>
          <w:kern w:val="0"/>
          <w:sz w:val="21"/>
          <w:szCs w:val="21"/>
        </w:rPr>
        <w:t>具有N母头或用户指定,雷电保护，直流接地；</w:t>
      </w:r>
    </w:p>
    <w:p>
      <w:pPr>
        <w:widowControl/>
        <w:spacing w:line="270" w:lineRule="atLeast"/>
        <w:ind w:leftChars="200"/>
        <w:jc w:val="left"/>
        <w:rPr>
          <w:rFonts w:hint="eastAsia" w:ascii="宋体" w:hAnsi="宋体" w:cs="Arial"/>
          <w:kern w:val="0"/>
          <w:sz w:val="21"/>
          <w:szCs w:val="21"/>
        </w:rPr>
      </w:pPr>
      <w:r>
        <w:rPr>
          <w:rFonts w:hint="eastAsia" w:ascii="宋体" w:hAnsi="宋体" w:eastAsia="宋体" w:cs="Arial"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cs="Arial"/>
          <w:kern w:val="0"/>
          <w:sz w:val="21"/>
          <w:szCs w:val="21"/>
        </w:rPr>
        <w:t>IP67等级设计，适应全天候工作；</w:t>
      </w:r>
    </w:p>
    <w:p>
      <w:pPr>
        <w:widowControl/>
        <w:spacing w:line="270" w:lineRule="atLeast"/>
        <w:ind w:leftChars="200"/>
        <w:jc w:val="left"/>
        <w:rPr>
          <w:rFonts w:hint="eastAsia" w:ascii="宋体" w:hAnsi="宋体" w:eastAsia="宋体" w:cs="Arial"/>
          <w:sz w:val="21"/>
          <w:szCs w:val="21"/>
          <w:lang w:eastAsia="zh-CN"/>
        </w:rPr>
      </w:pPr>
      <w:r>
        <w:rPr>
          <w:rFonts w:hint="eastAsia" w:ascii="宋体" w:hAnsi="宋体" w:eastAsia="宋体" w:cs="Arial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Arial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Arial"/>
          <w:sz w:val="21"/>
          <w:szCs w:val="21"/>
        </w:rPr>
        <w:t>广泛应用于RFID自动收费停车系统、城市智能交通、仓库管理出入库系统</w:t>
      </w:r>
      <w:r>
        <w:rPr>
          <w:rFonts w:hint="eastAsia" w:ascii="宋体" w:hAnsi="宋体" w:eastAsia="宋体" w:cs="Arial"/>
          <w:sz w:val="21"/>
          <w:szCs w:val="21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9"/>
        <w:tblpPr w:leftFromText="180" w:rightFromText="180" w:vertAnchor="text" w:horzAnchor="page" w:tblpX="952" w:tblpY="186"/>
        <w:tblOverlap w:val="never"/>
        <w:tblW w:w="100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7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18"/>
                <w:szCs w:val="18"/>
              </w:rPr>
              <w:t>VA-9121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 气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频率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1"/>
                <w:kern w:val="0"/>
                <w:sz w:val="18"/>
                <w:szCs w:val="18"/>
              </w:rPr>
              <w:t>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Hz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902-928MHz或865-869MHZ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输入阻抗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50欧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增益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12dBi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驻波比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≤1.5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极化方式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线极化或圆极化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前后比-db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≥25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E面波瓣宽度-°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H面波瓣宽度-°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前后比（db）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≥25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雷电保护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  械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尺寸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650*280*125mm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天线接口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N母头或用户指定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包装尺寸(mm)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740×330×190mm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重量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5.5KG(含夹码)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抱杆直径(mm)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50～75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极限风速(m/s)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工作温度(℃)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-40～60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天线罩材质</w:t>
            </w:r>
          </w:p>
        </w:tc>
        <w:tc>
          <w:tcPr>
            <w:tcW w:w="787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UPVC</w:t>
            </w:r>
          </w:p>
        </w:tc>
      </w:tr>
    </w:tbl>
    <w:p>
      <w:pPr>
        <w:pStyle w:val="3"/>
        <w:rPr>
          <w:sz w:val="17"/>
        </w:rPr>
      </w:pPr>
      <w:bookmarkStart w:id="0" w:name="_GoBack"/>
      <w:bookmarkEnd w:id="0"/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26216889"/>
    <w:rsid w:val="29AE3FC0"/>
    <w:rsid w:val="35392763"/>
    <w:rsid w:val="49A45447"/>
    <w:rsid w:val="4DB50956"/>
    <w:rsid w:val="525B5F30"/>
    <w:rsid w:val="52BD1672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