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585" w:tblpY="163"/>
        <w:tblOverlap w:val="never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wordWrap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超高频补片式轮胎标签</w:t>
            </w:r>
          </w:p>
          <w:p>
            <w:pPr>
              <w:jc w:val="left"/>
              <w:rPr>
                <w:rFonts w:hint="eastAsia" w:ascii="Verdana" w:hAnsi="Verdana" w:eastAsia="微软雅黑"/>
                <w:b/>
                <w:bCs/>
                <w:color w:val="0072BC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VT-101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B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（内贴式）</w:t>
            </w:r>
          </w:p>
          <w:p>
            <w:pPr>
              <w:pStyle w:val="3"/>
              <w:shd w:val="clear"/>
              <w:ind w:leftChars="300"/>
              <w:jc w:val="left"/>
              <w:rPr>
                <w:rFonts w:hint="eastAsia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inline distT="0" distB="0" distL="114300" distR="114300">
                  <wp:extent cx="2857500" cy="1905000"/>
                  <wp:effectExtent l="0" t="0" r="0" b="0"/>
                  <wp:docPr id="1" name="图片 1" descr="2c46ed3f-3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c46ed3f-300x20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500" w:firstLineChars="20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该款标签是用橡胶封装成的电子标签，符合EPC C1G2（ISO 18000-6C）标准，工作频率为860MHz~960MHz，可在全球范围内使用，其中RFID的芯片将存储唯一标识以及其他更新信息。主要适应于轮胎成品管理，车辆追踪，物流车队管理等。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500" w:firstLineChars="20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drawing>
          <wp:inline distT="0" distB="0" distL="114300" distR="114300">
            <wp:extent cx="2857500" cy="1905000"/>
            <wp:effectExtent l="0" t="0" r="0" b="0"/>
            <wp:docPr id="2" name="图片 2" descr="e0c31539-3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0c31539-300x2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drawing>
          <wp:inline distT="0" distB="0" distL="114300" distR="114300">
            <wp:extent cx="2857500" cy="1905000"/>
            <wp:effectExtent l="0" t="0" r="0" b="0"/>
            <wp:docPr id="5" name="图片 5" descr="ba38f5422-3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a38f5422-300x2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tabs>
          <w:tab w:val="left" w:pos="815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ab/>
      </w:r>
    </w:p>
    <w:tbl>
      <w:tblPr>
        <w:tblStyle w:val="7"/>
        <w:tblW w:w="9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7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9905" w:type="dxa"/>
            <w:gridSpan w:val="2"/>
            <w:shd w:val="clear" w:color="auto" w:fill="FF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0" w:lineRule="atLeas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规格描述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产品型号(订购代码)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VT-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101B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9905" w:type="dxa"/>
            <w:gridSpan w:val="2"/>
            <w:shd w:val="clear" w:color="auto" w:fill="FF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 能 指 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工作模式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存储时间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可擦写次数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9905" w:type="dxa"/>
            <w:gridSpan w:val="2"/>
            <w:shd w:val="clear" w:color="auto" w:fill="FF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标 签 操 作 性 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读取距离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8dbi天线配置，典型读取距离2米(与读写器性能和应用环境有关)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9905" w:type="dxa"/>
            <w:gridSpan w:val="2"/>
            <w:shd w:val="clear" w:color="auto" w:fill="FF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材质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橡胶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防护等级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IEC 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工作温度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-20 ºC to +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5ºC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存储温度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-40°C to 230°C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安装方式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硫化 (和补胎流程一样)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尺寸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0" w:lineRule="atLeas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5(长)*3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(宽)*2(高)mm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pacing w:val="20"/>
                <w:sz w:val="21"/>
                <w:szCs w:val="21"/>
                <w:shd w:val="clear" w:color="auto" w:fill="FFFFFF"/>
              </w:rPr>
              <w:t>工作频率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0" w:lineRule="atLeas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860-960MHz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5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pacing w:val="20"/>
                <w:sz w:val="21"/>
                <w:szCs w:val="21"/>
                <w:shd w:val="clear" w:color="auto" w:fill="FFFFFF"/>
              </w:rPr>
              <w:t>协议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0" w:lineRule="atLeas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ISO 18000-6C(EPC Class1 Gen2)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芯片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0" w:lineRule="atLeas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shd w:val="clear" w:color="auto" w:fill="FFFFFF"/>
              </w:rPr>
              <w:t>Alien Higgs-3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EPC容量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0" w:lineRule="atLeas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96bits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TID容量/User容量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0" w:lineRule="atLeas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64bits/512bits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防护等级</w:t>
            </w:r>
          </w:p>
        </w:tc>
        <w:tc>
          <w:tcPr>
            <w:tcW w:w="7052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0" w:lineRule="atLeas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IEC 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重量</w:t>
            </w:r>
          </w:p>
        </w:tc>
        <w:tc>
          <w:tcPr>
            <w:tcW w:w="7052" w:type="dxa"/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3.85g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53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应用</w:t>
            </w:r>
          </w:p>
        </w:tc>
        <w:tc>
          <w:tcPr>
            <w:tcW w:w="7052" w:type="dxa"/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="0" w:afterAutospacing="0" w:line="2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公交轮胎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物流车队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  <w:t>轮胎防伪等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tabs>
          <w:tab w:val="left" w:pos="815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tabs>
          <w:tab w:val="left" w:pos="1996"/>
        </w:tabs>
        <w:bidi w:val="0"/>
        <w:jc w:val="left"/>
        <w:rPr>
          <w:rFonts w:hint="eastAsia" w:eastAsia="宋体"/>
          <w:lang w:eastAsia="zh-CN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62994"/>
    <w:rsid w:val="09550008"/>
    <w:rsid w:val="0BB126C2"/>
    <w:rsid w:val="150250A7"/>
    <w:rsid w:val="26216889"/>
    <w:rsid w:val="29AE3FC0"/>
    <w:rsid w:val="3DF85DC4"/>
    <w:rsid w:val="434B15FF"/>
    <w:rsid w:val="4DB50956"/>
    <w:rsid w:val="525B5F30"/>
    <w:rsid w:val="59B2381B"/>
    <w:rsid w:val="64AF4F17"/>
    <w:rsid w:val="652619AF"/>
    <w:rsid w:val="78EE7CC7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2020-08-02T10:01:31Z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