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有源标签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VT-3004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B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sz w:val="18"/>
                <w:szCs w:val="18"/>
              </w:rPr>
              <w:drawing>
                <wp:inline distT="0" distB="0" distL="114300" distR="114300">
                  <wp:extent cx="2201545" cy="1945640"/>
                  <wp:effectExtent l="0" t="0" r="8255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4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250" w:firstLineChars="100"/>
        <w:rPr>
          <w:rFonts w:hint="eastAsia" w:ascii="微软雅黑" w:hAnsi="微软雅黑" w:eastAsia="微软雅黑" w:cs="微软雅黑"/>
          <w:spacing w:val="2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pacing w:val="20"/>
          <w:kern w:val="2"/>
          <w:sz w:val="21"/>
          <w:szCs w:val="21"/>
          <w:lang w:val="en-US" w:eastAsia="zh-CN" w:bidi="ar-SA"/>
        </w:rPr>
        <w:t xml:space="preserve"> 该款由纸电池辅助供电的超高频射频标签，利用纸电池超薄，柔软，环保等特点，克服了无源标签读取距离的局限，标签采用Generation 2和ISO 18000-6C 协议，符合EPCglobal_Class1，性价比优于有源标签，具有超低功耗，高稳定性，使用寿命长等特点，适用于物流供应管理、生产制造装配、航空行李处理、邮件、快运包裹处理、文档追踪、门禁控制、电子门票、道路自动收费等。</w:t>
      </w:r>
    </w:p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作为可弃型的电子标签，915半有源标签使用超薄、柔性和环保型的power paper电池供电，避免完全依靠读写器获取能量，能够提供超乎想象的可靠性。 </w:t>
      </w: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高效能、低成本、低功耗、使用寿命长；</w:t>
      </w: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防碰撞设计，支持多数量标签同时读取；</w:t>
      </w: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整体厚度≤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/>
        </w:rPr>
        <w:t>1mm；</w:t>
      </w: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高灵敏度，读取距离远；</w:t>
      </w:r>
    </w:p>
    <w:p>
      <w:pPr>
        <w:numPr>
          <w:ilvl w:val="0"/>
          <w:numId w:val="1"/>
        </w:numPr>
        <w:tabs>
          <w:tab w:val="left" w:pos="420"/>
        </w:tabs>
        <w:ind w:left="42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/>
        </w:rPr>
        <w:t>BAP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技术，极大提高抗干扰性，供电单元采用世界最先进的印刷电池技术，环保柔性纸电池，更加安全可靠，增强读取灵敏度，从而极大提高抗干扰性，达到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/>
        </w:rPr>
        <w:t>100%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读取；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211" w:type="dxa"/>
        <w:jc w:val="center"/>
        <w:tblInd w:w="-143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753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1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VT-3004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半有源标签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1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EPC global Class1，Gen2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集成电源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无需从读写器获取散射发射的能量而获得近乎100%可靠地识别率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全频段 860-960 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环保电池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采用没有化学和重金属材料的电池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印刷电池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低成本超薄和柔性标签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环境因素影响小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抗液体干扰，是理想的人员追踪标签产品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记忆体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96bitEPC编码，720bit片上用户数据区，64bit标签唯一识别码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电源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集成专利的可弃型电池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制造商/芯片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EM4324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基材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PET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使用寿命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100,000周期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 xml:space="preserve">印刷纸电池 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1.5V锌锰电池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75×45mmx1mm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天线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铝蚀刻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工作年限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室温3年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工作温度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-20℃至+60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湿度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5%-95%non-condensing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注意事项</w:t>
            </w:r>
          </w:p>
        </w:tc>
        <w:tc>
          <w:tcPr>
            <w:tcW w:w="7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搬运及使用时防水、禁止剧烈撞击、禁止挤压或弯折；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1518D"/>
    <w:multiLevelType w:val="singleLevel"/>
    <w:tmpl w:val="8EB1518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07E2"/>
    <w:rsid w:val="09550008"/>
    <w:rsid w:val="0BB126C2"/>
    <w:rsid w:val="0D4D124E"/>
    <w:rsid w:val="0D592774"/>
    <w:rsid w:val="150250A7"/>
    <w:rsid w:val="19AA7D31"/>
    <w:rsid w:val="204816BC"/>
    <w:rsid w:val="228E383E"/>
    <w:rsid w:val="26216889"/>
    <w:rsid w:val="270222DA"/>
    <w:rsid w:val="28FE2E82"/>
    <w:rsid w:val="29AE3FC0"/>
    <w:rsid w:val="2D696B6E"/>
    <w:rsid w:val="30C66185"/>
    <w:rsid w:val="38414CE2"/>
    <w:rsid w:val="3D9B222F"/>
    <w:rsid w:val="460E7722"/>
    <w:rsid w:val="495879DA"/>
    <w:rsid w:val="499735B7"/>
    <w:rsid w:val="4AE551E3"/>
    <w:rsid w:val="4DB50956"/>
    <w:rsid w:val="525B5F30"/>
    <w:rsid w:val="527D4666"/>
    <w:rsid w:val="58156D13"/>
    <w:rsid w:val="59B2381B"/>
    <w:rsid w:val="5CF509EA"/>
    <w:rsid w:val="64D6168A"/>
    <w:rsid w:val="652619AF"/>
    <w:rsid w:val="74F53E83"/>
    <w:rsid w:val="77366BD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