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867" w:tblpY="210"/>
        <w:tblOverlap w:val="never"/>
        <w:tblW w:w="10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9"/>
        <w:gridCol w:w="3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6109" w:type="dxa"/>
          </w:tcPr>
          <w:p>
            <w:pPr>
              <w:pStyle w:val="3"/>
              <w:shd w:val="clear"/>
              <w:ind w:right="-594" w:rightChars="-27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</w:pPr>
          </w:p>
          <w:p>
            <w:pPr>
              <w:pStyle w:val="3"/>
              <w:shd w:val="clear"/>
              <w:ind w:right="-594" w:rightChars="-27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  <w:t>一次性腕带标签</w:t>
            </w:r>
          </w:p>
          <w:p>
            <w:pPr>
              <w:pStyle w:val="3"/>
              <w:shd w:val="clear"/>
              <w:ind w:right="-594" w:rightChars="-27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44"/>
                <w:szCs w:val="4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  <w:t>VT-88B</w:t>
            </w:r>
          </w:p>
          <w:p>
            <w:pPr>
              <w:pStyle w:val="3"/>
              <w:ind w:right="-594" w:rightChars="-270"/>
              <w:rPr>
                <w:rFonts w:ascii="Times New Roman"/>
                <w:sz w:val="20"/>
                <w:vertAlign w:val="baseline"/>
              </w:rPr>
            </w:pPr>
          </w:p>
        </w:tc>
        <w:tc>
          <w:tcPr>
            <w:tcW w:w="3968" w:type="dxa"/>
          </w:tcPr>
          <w:p>
            <w:pPr>
              <w:pStyle w:val="3"/>
              <w:spacing w:line="360" w:lineRule="auto"/>
              <w:ind w:right="-594" w:rightChars="-270"/>
              <w:jc w:val="both"/>
              <w:rPr>
                <w:rFonts w:ascii="Times New Roman"/>
                <w:sz w:val="20"/>
                <w:vertAlign w:val="baseline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    </w:t>
            </w:r>
            <w:r>
              <w:drawing>
                <wp:inline distT="0" distB="0" distL="114300" distR="114300">
                  <wp:extent cx="2380615" cy="906780"/>
                  <wp:effectExtent l="0" t="0" r="635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61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ind w:leftChars="100"/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简单介绍：</w:t>
      </w:r>
    </w:p>
    <w:p>
      <w:pPr>
        <w:pStyle w:val="3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1265" w:leftChars="0" w:right="0" w:rightChars="0" w:hanging="425" w:firstLineChars="0"/>
        <w:jc w:val="left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多标签识别 ；</w:t>
      </w:r>
    </w:p>
    <w:p>
      <w:pPr>
        <w:pStyle w:val="3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1265" w:leftChars="0" w:right="0" w:rightChars="0" w:hanging="425" w:firstLineChars="0"/>
        <w:jc w:val="left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标签识别灵敏度高 ；</w:t>
      </w:r>
    </w:p>
    <w:p>
      <w:pPr>
        <w:pStyle w:val="3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1265" w:leftChars="0" w:right="0" w:rightChars="0" w:hanging="425" w:firstLineChars="0"/>
        <w:jc w:val="left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线极化设计在特定方向具有超高读取率 ；</w:t>
      </w:r>
    </w:p>
    <w:p>
      <w:pPr>
        <w:pStyle w:val="3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1265" w:leftChars="0" w:right="0" w:rightChars="0" w:hanging="425" w:firstLineChars="0"/>
        <w:jc w:val="left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 xml:space="preserve">防伪性能高，拥有合球唯一识别码（TID码）； </w:t>
      </w:r>
    </w:p>
    <w:p>
      <w:pPr>
        <w:pStyle w:val="3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1265" w:leftChars="0" w:right="0" w:rightChars="0" w:hanging="425" w:firstLineChars="0"/>
        <w:jc w:val="left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杜邦纸可防水性能高 ；</w:t>
      </w:r>
    </w:p>
    <w:p>
      <w:pPr>
        <w:pStyle w:val="3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1265" w:leftChars="0" w:right="0" w:rightChars="0" w:hanging="425" w:firstLineChars="0"/>
        <w:jc w:val="left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广泛应用于游乐场、洗浴场、派对、医院的人员签到、监护监控、统计等管理；</w: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ind w:leftChars="100"/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产品参数：</w:t>
      </w:r>
    </w:p>
    <w:p>
      <w:pPr>
        <w:pStyle w:val="3"/>
        <w:rPr>
          <w:rFonts w:hint="eastAsia" w:ascii="微软雅黑" w:hAnsi="微软雅黑" w:eastAsia="微软雅黑" w:cs="微软雅黑"/>
          <w:sz w:val="21"/>
          <w:szCs w:val="21"/>
        </w:rPr>
      </w:pPr>
    </w:p>
    <w:tbl>
      <w:tblPr>
        <w:tblStyle w:val="7"/>
        <w:tblW w:w="9416" w:type="dxa"/>
        <w:jc w:val="center"/>
        <w:tblInd w:w="-308" w:type="dxa"/>
        <w:tblBorders>
          <w:top w:val="single" w:color="A4A4A4" w:themeColor="background1" w:themeShade="A5" w:sz="6" w:space="0"/>
          <w:left w:val="single" w:color="A4A4A4" w:themeColor="background1" w:themeShade="A5" w:sz="6" w:space="0"/>
          <w:bottom w:val="single" w:color="A4A4A4" w:themeColor="background1" w:themeShade="A5" w:sz="6" w:space="0"/>
          <w:right w:val="single" w:color="A4A4A4" w:themeColor="background1" w:themeShade="A5" w:sz="6" w:space="0"/>
          <w:insideH w:val="single" w:color="A4A4A4" w:themeColor="background1" w:themeShade="A5" w:sz="6" w:space="0"/>
          <w:insideV w:val="single" w:color="A4A4A4" w:themeColor="background1" w:themeShade="A5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6576"/>
      </w:tblGrid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16" w:type="dxa"/>
            <w:gridSpan w:val="2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规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格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描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述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产品型号(订购代码)</w:t>
            </w:r>
          </w:p>
        </w:tc>
        <w:tc>
          <w:tcPr>
            <w:tcW w:w="6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VT-88B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16" w:type="dxa"/>
            <w:gridSpan w:val="2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tabs>
                <w:tab w:val="left" w:pos="3531"/>
              </w:tabs>
              <w:jc w:val="left"/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  <w:t>性  能  指  标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协议</w:t>
            </w:r>
          </w:p>
        </w:tc>
        <w:tc>
          <w:tcPr>
            <w:tcW w:w="6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>EPCglobal C1 Gen2  与 ISO18000-6C</w:t>
            </w:r>
            <w:bookmarkStart w:id="0" w:name="_GoBack"/>
            <w:bookmarkEnd w:id="0"/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芯片</w:t>
            </w:r>
          </w:p>
        </w:tc>
        <w:tc>
          <w:tcPr>
            <w:tcW w:w="6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autoSpaceDE/>
              <w:autoSpaceDN/>
              <w:adjustRightInd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Alien Higgs系列 / IMPINJ Monza 系列 / NXP （根据客户要求）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工作频率</w:t>
            </w:r>
          </w:p>
        </w:tc>
        <w:tc>
          <w:tcPr>
            <w:tcW w:w="6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860—960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  <w:lang w:val="en-US" w:eastAsia="zh-CN"/>
              </w:rPr>
              <w:t>Mhz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存储容量</w:t>
            </w:r>
          </w:p>
        </w:tc>
        <w:tc>
          <w:tcPr>
            <w:tcW w:w="6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96bit可扩展至512bit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尺寸</w:t>
            </w:r>
          </w:p>
        </w:tc>
        <w:tc>
          <w:tcPr>
            <w:tcW w:w="6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  <w:t>85*54*0.8mm(可定制)  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工作模式</w:t>
            </w:r>
          </w:p>
        </w:tc>
        <w:tc>
          <w:tcPr>
            <w:tcW w:w="6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可读写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  <w:t>读取距离</w:t>
            </w:r>
          </w:p>
        </w:tc>
        <w:tc>
          <w:tcPr>
            <w:tcW w:w="6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lang w:val="en-US" w:eastAsia="zh-CN"/>
              </w:rPr>
              <w:t>3m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  <w:t>(与读写器性能及工作环境有关)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存储时间</w:t>
            </w:r>
          </w:p>
        </w:tc>
        <w:tc>
          <w:tcPr>
            <w:tcW w:w="6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＞10年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可擦写次数</w:t>
            </w:r>
          </w:p>
        </w:tc>
        <w:tc>
          <w:tcPr>
            <w:tcW w:w="6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＞100,000次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工作温度</w:t>
            </w:r>
          </w:p>
        </w:tc>
        <w:tc>
          <w:tcPr>
            <w:tcW w:w="6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-20℃~+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0℃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存储温度</w:t>
            </w:r>
          </w:p>
        </w:tc>
        <w:tc>
          <w:tcPr>
            <w:tcW w:w="6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-40℃~+100℃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封装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材质</w:t>
            </w:r>
          </w:p>
        </w:tc>
        <w:tc>
          <w:tcPr>
            <w:tcW w:w="6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特卫强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安装方式</w:t>
            </w:r>
          </w:p>
        </w:tc>
        <w:tc>
          <w:tcPr>
            <w:tcW w:w="6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环扣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应用</w:t>
            </w:r>
          </w:p>
        </w:tc>
        <w:tc>
          <w:tcPr>
            <w:tcW w:w="6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游乐场、洗浴场、派对、医院的人员签到、监护监控、统计等管理</w:t>
            </w:r>
          </w:p>
        </w:tc>
      </w:tr>
    </w:tbl>
    <w:p>
      <w:pPr>
        <w:pStyle w:val="3"/>
        <w:rPr>
          <w:rFonts w:hint="eastAsia" w:ascii="微软雅黑" w:hAnsi="微软雅黑" w:eastAsia="微软雅黑" w:cs="微软雅黑"/>
          <w:sz w:val="21"/>
          <w:szCs w:val="21"/>
        </w:rPr>
      </w:pPr>
    </w:p>
    <w:sectPr>
      <w:headerReference r:id="rId3" w:type="default"/>
      <w:footerReference r:id="rId4" w:type="default"/>
      <w:pgSz w:w="11920" w:h="16840"/>
      <w:pgMar w:top="0" w:right="660" w:bottom="283" w:left="580" w:header="72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Spec="center" w:tblpY="15854"/>
      <w:tblOverlap w:val="never"/>
      <w:tblW w:w="8190" w:type="dxa"/>
      <w:jc w:val="center"/>
      <w:tblInd w:w="0" w:type="dxa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03"/>
      <w:gridCol w:w="2703"/>
      <w:gridCol w:w="2784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</w:tblPrEx>
      <w:trPr>
        <w:trHeight w:val="283" w:hRule="exact"/>
        <w:jc w:val="center"/>
      </w:trPr>
      <w:tc>
        <w:tcPr>
          <w:tcW w:w="2703" w:type="dxa"/>
          <w:vMerge w:val="restart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drawing>
              <wp:inline distT="0" distB="0" distL="114300" distR="114300">
                <wp:extent cx="847090" cy="294640"/>
                <wp:effectExtent l="0" t="0" r="6350" b="10160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29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电话：0755-82426775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传真：0755-82403457-600</w:t>
          </w: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网址：www.vanch.cn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邮箱：sales@vanch.net</w:t>
          </w:r>
        </w:p>
        <w:p>
          <w:pPr>
            <w:pStyle w:val="4"/>
            <w:spacing w:line="240" w:lineRule="auto"/>
            <w:ind w:left="0" w:leftChars="0"/>
            <w:rPr>
              <w:sz w:val="15"/>
              <w:szCs w:val="20"/>
            </w:rPr>
          </w:pP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  <w:tc>
        <w:tcPr>
          <w:tcW w:w="5487" w:type="dxa"/>
          <w:gridSpan w:val="2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地址：中国广东省深圳市宁路富安娜工业园B栋4楼西侧</w:t>
          </w: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</w:tbl>
  <w:p>
    <w:pPr>
      <w:pStyle w:val="4"/>
      <w:ind w:left="0" w:leftChars="0"/>
      <w:jc w:val="center"/>
      <w:rPr>
        <w:rFonts w:hint="eastAsia"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pStyle w:val="4"/>
      <w:ind w:firstLine="3041" w:firstLineChars="1900"/>
      <w:jc w:val="both"/>
      <w:rPr>
        <w:rFonts w:hint="eastAsia" w:ascii="微软雅黑" w:hAnsi="微软雅黑" w:eastAsia="微软雅黑" w:cs="微软雅黑"/>
        <w:b/>
        <w:bCs/>
        <w:sz w:val="16"/>
        <w:szCs w:val="16"/>
      </w:rPr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          </w:t>
    </w: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left="0" w:leftChars="0"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val="en-US"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Arial" w:hAnsi="Arial" w:eastAsia="微软雅黑" w:cs="Arial"/>
        <w:b/>
        <w:bCs/>
        <w:spacing w:val="-20"/>
        <w:sz w:val="22"/>
        <w:szCs w:val="30"/>
      </w:rPr>
    </w:pPr>
    <w:r>
      <w:rPr>
        <w:rFonts w:hint="eastAsia" w:ascii="Arial" w:hAnsi="Arial" w:cs="Arial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single" w:color="969696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16BD11"/>
    <w:multiLevelType w:val="singleLevel"/>
    <w:tmpl w:val="DE16BD11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BC"/>
    <w:rsid w:val="05375E3B"/>
    <w:rsid w:val="09550008"/>
    <w:rsid w:val="0BB126C2"/>
    <w:rsid w:val="12E019C5"/>
    <w:rsid w:val="13C0005A"/>
    <w:rsid w:val="150250A7"/>
    <w:rsid w:val="197F0473"/>
    <w:rsid w:val="22647D90"/>
    <w:rsid w:val="22B95528"/>
    <w:rsid w:val="26216889"/>
    <w:rsid w:val="29AE3FC0"/>
    <w:rsid w:val="31866A56"/>
    <w:rsid w:val="33736CAA"/>
    <w:rsid w:val="3BDE01E4"/>
    <w:rsid w:val="40B90E3B"/>
    <w:rsid w:val="476D21DB"/>
    <w:rsid w:val="4DB50956"/>
    <w:rsid w:val="4E430293"/>
    <w:rsid w:val="525B5F30"/>
    <w:rsid w:val="537E051B"/>
    <w:rsid w:val="58EF4E2D"/>
    <w:rsid w:val="59B2381B"/>
    <w:rsid w:val="5C3741B3"/>
    <w:rsid w:val="612C57A5"/>
    <w:rsid w:val="62B7108E"/>
    <w:rsid w:val="652619AF"/>
    <w:rsid w:val="66F07170"/>
    <w:rsid w:val="6A360BC4"/>
    <w:rsid w:val="6DFE1CD8"/>
    <w:rsid w:val="7C0257D6"/>
    <w:rsid w:val="7CE96CC2"/>
    <w:rsid w:val="7D373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1"/>
    </w:pPr>
    <w:rPr>
      <w:rFonts w:ascii="宋体" w:hAnsi="宋体" w:eastAsia="宋体" w:cs="宋体"/>
      <w:b/>
      <w:bCs/>
      <w:sz w:val="16"/>
      <w:szCs w:val="16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22"/>
    <w:rPr>
      <w:b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en-US" w:eastAsia="en-US" w:bidi="en-US"/>
    </w:rPr>
  </w:style>
  <w:style w:type="paragraph" w:customStyle="1" w:styleId="13">
    <w:name w:val="Table Paragraph"/>
    <w:basedOn w:val="1"/>
    <w:qFormat/>
    <w:uiPriority w:val="1"/>
    <w:pPr>
      <w:ind w:left="167"/>
    </w:pPr>
    <w:rPr>
      <w:rFonts w:ascii="Arial" w:hAnsi="Arial" w:eastAsia="Arial" w:cs="Arial"/>
      <w:lang w:val="en-US" w:eastAsia="en-US" w:bidi="en-US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Cambria" w:eastAsia="宋体" w:cs="Cambr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程宏志 深圳 万全智能</cp:lastModifiedBy>
  <dcterms:modified xsi:type="dcterms:W3CDTF">2020-08-03T08:06:28Z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2052-11.8.2.8411</vt:lpwstr>
  </property>
</Properties>
</file>