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0"/>
        <w:gridCol w:w="5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5450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eastAsia="zh-CN"/>
              </w:rPr>
              <w:t>经典款超高频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eastAsia="zh-CN"/>
              </w:rPr>
              <w:t>远距离手持终端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</w:rPr>
              <w:t>-8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3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50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426085</wp:posOffset>
                  </wp:positionV>
                  <wp:extent cx="1544320" cy="1397000"/>
                  <wp:effectExtent l="0" t="0" r="17780" b="12700"/>
                  <wp:wrapTight wrapText="bothSides">
                    <wp:wrapPolygon>
                      <wp:start x="0" y="0"/>
                      <wp:lineTo x="0" y="21207"/>
                      <wp:lineTo x="21316" y="21207"/>
                      <wp:lineTo x="21316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114300" distR="114300">
                  <wp:extent cx="1576705" cy="1440815"/>
                  <wp:effectExtent l="0" t="0" r="4445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VH-83远距离UHF智能手持终端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融合性能卓著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英频杰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 xml:space="preserve"> Indy R2000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UHF超高频读写功能；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具有更出色的灵敏度，有助于实现更精准、更快速的数据采集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Android 6.0（四核）/ Android 8.1（八核）操作系统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Cortex-A53 1.45GHz 四核 / Cortex-A53 2.5GHz 八核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5.2寸，IPS高清屏幕；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hanging="425" w:firstLineChars="0"/>
        <w:jc w:val="left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8000mAh高压电池待机更持久;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支持4G全网通支持2.4G/5G双频 Wi-Fi;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3GB+32GB/2GB+16GB大容量存储；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支持一维扫描、二维扫描、UHF、NFC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、虹膜生物识别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等物联网功能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康宁玻璃，特别防摔设计，经过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1.5米跌落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1000次0.5米翻滚测试，依然正常工作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IP6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防护等级，软硬胶双料注塑工艺，使产品具备防水、防尘、防腐蚀、防油污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其广泛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应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用于资产管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理、鞋服零售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图书档案管理、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车辆管理、仓储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物流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管理、金融管理等领域。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行业定制专属UI设计</w:t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default" w:ascii="微软雅黑" w:hAnsi="微软雅黑" w:eastAsia="宋体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</w:t>
      </w:r>
      <w:r>
        <w:drawing>
          <wp:inline distT="0" distB="0" distL="114300" distR="114300">
            <wp:extent cx="1614170" cy="652145"/>
            <wp:effectExtent l="0" t="0" r="5080" b="146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533525" cy="61912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497330" cy="591820"/>
            <wp:effectExtent l="0" t="0" r="7620" b="1778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475105" cy="597535"/>
            <wp:effectExtent l="0" t="0" r="10795" b="120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1043" w:tblpY="617"/>
        <w:tblOverlap w:val="never"/>
        <w:tblW w:w="9924" w:type="dxa"/>
        <w:tblInd w:w="0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7448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Style w:val="10"/>
                <w:rFonts w:hint="eastAsia" w:ascii="宋体" w:hAnsi="宋体" w:eastAsia="宋体" w:cs="宋体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Style w:val="10"/>
                <w:rFonts w:hint="eastAsia" w:ascii="宋体" w:hAnsi="宋体" w:eastAsia="宋体" w:cs="宋体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18"/>
                <w:szCs w:val="18"/>
                <w:lang w:val="en-US" w:eastAsia="zh-CN"/>
              </w:rPr>
              <w:t>VH-83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  <w:t>基本参数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整机尺寸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164.2mm x 80.0mm x 24.3mm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整机重量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654g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显示屏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5.2寸，IPS FHD 1920x1080分辨率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触控屏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康宁大猩猩玻璃，支持多点触控，支持手套或湿手操作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vMerge w:val="restart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扩展插槽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1个SIM卡槽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vMerge w:val="continue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一个卡槽SIM或TF二选一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通讯接口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USB 2.0 Type-C, OTG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音频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扬声器，2个麦克风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键盘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4个主键盘，1个电源键，2个扫描键，1个多功能键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摄像头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1300万像素彩色摄像头，支持自动对焦、闪光灯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GPS导航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内置GPS全球定位系统，误差范围±5m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传感器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重力传感器，光线传感器，距离传感器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color w:val="FFFFFF"/>
              </w:rPr>
            </w:pPr>
            <w:r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  <w:t>性能参数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CPU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Arial" w:cs="Arial"/>
                <w:kern w:val="0"/>
                <w:sz w:val="18"/>
                <w:szCs w:val="18"/>
                <w:lang w:val="zh-CN" w:eastAsia="zh-CN" w:bidi="ar-SA"/>
              </w:rPr>
              <w:t>Cortex-A53 1.45GHz 四核 / Co</w:t>
            </w:r>
            <w:bookmarkStart w:id="0" w:name="_GoBack"/>
            <w:bookmarkEnd w:id="0"/>
            <w:r>
              <w:rPr>
                <w:rFonts w:hint="eastAsia" w:ascii="宋体" w:hAnsi="宋体" w:eastAsia="Arial" w:cs="Arial"/>
                <w:kern w:val="0"/>
                <w:sz w:val="18"/>
                <w:szCs w:val="18"/>
                <w:lang w:val="zh-CN" w:eastAsia="zh-CN" w:bidi="ar-SA"/>
              </w:rPr>
              <w:t>rtex-A53 2.5GHz 八核</w:t>
            </w:r>
            <w:r>
              <w:rPr>
                <w:rFonts w:hint="eastAsia" w:ascii="宋体" w:hAnsi="宋体" w:eastAsia="Arial" w:cs="Arial"/>
                <w:kern w:val="0"/>
                <w:sz w:val="18"/>
                <w:szCs w:val="18"/>
                <w:lang w:val="en-US" w:eastAsia="zh-CN" w:bidi="ar-SA"/>
              </w:rPr>
              <w:t>;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内存容量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RAM：2GB ROM：16GB</w:t>
            </w:r>
            <w:r>
              <w:rPr>
                <w:rFonts w:hint="eastAsia" w:ascii="宋体" w:hAnsi="宋体" w:eastAsia="Arial" w:cs="Arial"/>
                <w:kern w:val="0"/>
                <w:sz w:val="18"/>
                <w:szCs w:val="18"/>
                <w:lang w:val="zh-CN" w:eastAsia="zh-CN" w:bidi="ar-SA"/>
              </w:rPr>
              <w:t xml:space="preserve"> （标配）</w:t>
            </w:r>
            <w:r>
              <w:rPr>
                <w:rFonts w:hint="eastAsia" w:ascii="宋体" w:hAnsi="宋体" w:eastAsia="Arial" w:cs="Arial"/>
                <w:kern w:val="0"/>
                <w:sz w:val="18"/>
                <w:szCs w:val="18"/>
                <w:lang w:val="en-US" w:eastAsia="zh-CN" w:bidi="ar-SA"/>
              </w:rPr>
              <w:t xml:space="preserve"> 3GB+32GB(选配）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操作系统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Android 6.0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（四核）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 xml:space="preserve"> Android 8.1（八核）操作系统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思源黑体 CN Bold" w:hAnsi="思源黑体 CN Bold" w:eastAsia="思源黑体 CN Bold" w:cs="思源黑体 CN Bold"/>
                <w:b/>
                <w:bCs/>
                <w:color w:val="FFFFFF"/>
                <w:sz w:val="20"/>
                <w:szCs w:val="20"/>
              </w:rPr>
              <w:t>开</w:t>
            </w:r>
            <w:r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  <w:t>发环境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ascii="思源黑体 CN Normal" w:hAnsi="思源黑体 CN Normal" w:eastAsia="思源黑体 CN Normal" w:cs="思源黑体 CN Normal"/>
                <w:color w:val="191919"/>
                <w:sz w:val="13"/>
                <w:szCs w:val="13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SDK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终端软件开发工具包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开发语言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Java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开发工具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Eclipse / Android Studio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扩展内存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MicroSD (TF)卡可扩展至128GB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color w:val="FFFFFF"/>
              </w:rPr>
            </w:pPr>
            <w:r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  <w:t>数据通讯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WLAN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支持IEEE802.11 a/b/g/n协议, (2.4G/5G双频)；内置天线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WWAN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2G: 900/1800MHz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3G: 900/1900/2000/2100MHz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4G: TDD-LTE: B38, B39, B40, B41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FDD-LTE: B1, B3, B5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Bluetooth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符合Bluetooth 4.0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BLE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GNSS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集成GPS，GLONASS和北斗；内置天线，支持AGPS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color w:val="FFFFFF"/>
              </w:rPr>
            </w:pPr>
            <w:r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  <w:t>工作环境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操作温度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-20℃～50℃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存储温度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-20℃～70℃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相对湿度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5%～95%不凝结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跌落规格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在操作温度范围内，6面均能承受多次从1.5米高度跌落至混凝土地面的冲击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滚动测试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滚动连续1000次0.5米，</w:t>
            </w:r>
            <w:r>
              <w:rPr>
                <w:rFonts w:hint="eastAsia" w:ascii="宋体" w:hAnsi="宋体" w:eastAsia="宋体" w:cs="宋体"/>
                <w:color w:val="0C0C0C"/>
                <w:spacing w:val="0"/>
                <w:sz w:val="18"/>
                <w:szCs w:val="18"/>
              </w:rPr>
              <w:t>6个面接触面滚动后依然稳定运行</w:t>
            </w: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，达到 IEC 滚动规格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静电防护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±15KV空气放电，±6KV接触放电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防护等级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主机IP65，达到 IEC 密封标准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both"/>
              <w:rPr>
                <w:color w:val="FFFFFF"/>
              </w:rPr>
            </w:pPr>
            <w:r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  <w:t>电池性能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电池容量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可充电锂聚合物电池8000mAh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待机时间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待机时间&gt;500小时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充电时间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充电时间3-4小时（使用标配电源适配器和数据线）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工作时间&gt;12小时（取决于使用情况和网络环境）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color w:val="FFFFFF"/>
              </w:rPr>
            </w:pPr>
            <w:r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  <w:t>条码采集（选配）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color w:va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一维条码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一维激光扫描模组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Zebra SE965 / Honeywell N4313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支持一维条码类型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Code 39、Code 93、Code128、Codebar、EAN- 13、EAN- 8、UPC-A、UPC- E、ITF 14、UCC/EAN- 128、ITF25、Matrix 25、EAN-128、ISBN等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color w:val="FFFFFF"/>
              </w:rPr>
            </w:pPr>
            <w:r>
              <w:rPr>
                <w:rFonts w:hint="eastAsia" w:ascii="宋体" w:hAnsi="宋体" w:eastAsia="宋体" w:cs="宋体"/>
                <w:color w:val="FFFFFF"/>
                <w:sz w:val="18"/>
                <w:szCs w:val="18"/>
              </w:rPr>
              <w:t>二维条码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二维扫描引擎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Zebra: SE4710 / SE4750 / SE4750MR; Honeywell: N6603 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支持二维条码类型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PDF417, MicroPDF417, Composite, RSS, TLC-39,Datamatrix, QR code, Micro QR code, Aztec, MaxiCode, Postal Codes,US PostNet,US Planet, UK Postal, Australian Postal,Japan Postal, Dutch Postal等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color w:val="FFFFFF"/>
              </w:rPr>
            </w:pPr>
            <w:r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  <w:t>超高频RFID（选配）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支持频率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915MHz、865MHz（865-868MHz或902-928MHz）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支持协议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  <w:t>针对EPC C1 GEN2 /ISO18000-6C协议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识读距离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  <w:t>＞25米（圆极化，室内）；＞10米（圆极化，室外空旷环境）；＞21米（线极化，室内）；＞7米（线极化，室外空旷环境）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群读速率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＞200标签每秒（圆极化）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功率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1W（30dBm，支持+5dBm ~ +30dBm调节）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  <w:t>RFID模块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  <w:t>VM-61</w:t>
            </w: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，基于Impinj Indy R2000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天线参数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18"/>
                <w:szCs w:val="18"/>
              </w:rPr>
              <w:t>线极化天线（1.8dBi）/ 圆极化天线（4dBi）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color w:val="FFFFFF"/>
              </w:rPr>
            </w:pPr>
            <w:r>
              <w:rPr>
                <w:rStyle w:val="10"/>
                <w:rFonts w:hint="eastAsia" w:ascii="宋体" w:hAnsi="宋体" w:eastAsia="宋体" w:cs="宋体"/>
                <w:color w:val="FFFFFF"/>
                <w:sz w:val="18"/>
                <w:szCs w:val="18"/>
              </w:rPr>
              <w:t>高频</w:t>
            </w:r>
            <w:r>
              <w:rPr>
                <w:rFonts w:ascii="思源黑体 CN Bold" w:hAnsi="思源黑体 CN Bold" w:eastAsia="思源黑体 CN Bold" w:cs="思源黑体 CN Bold"/>
                <w:b/>
                <w:bCs/>
                <w:color w:val="FFFFFF"/>
                <w:sz w:val="16"/>
                <w:szCs w:val="16"/>
              </w:rPr>
              <w:t>（选配）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支持频率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color="auto" w:fill="FFFFFF"/>
              </w:rPr>
              <w:t>13.56MHz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支持协议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针对ISO15693、ISO14443双协议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识读距离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0-7CM（与标签和环境有关）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40"/>
              <w:jc w:val="both"/>
              <w:rPr>
                <w:color w:val="FFFFFF"/>
              </w:rPr>
            </w:pPr>
            <w:r>
              <w:rPr>
                <w:rFonts w:ascii="思源黑体 CN Bold" w:hAnsi="思源黑体 CN Bold" w:eastAsia="思源黑体 CN Bold" w:cs="思源黑体 CN Bold"/>
                <w:b/>
                <w:bCs/>
                <w:color w:val="FFFFFF"/>
                <w:sz w:val="16"/>
                <w:szCs w:val="16"/>
              </w:rPr>
              <w:t>虹膜识别（选配）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识别时间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&lt;150ms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20-40cm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FAR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1/10000000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协议标准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ISO/IEC 19794-6，GB/T 20979-2007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包装清单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锂电池、充电头、DC充电线、USB充电线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CN Bold">
    <w:panose1 w:val="020B0800000000000000"/>
    <w:charset w:val="86"/>
    <w:family w:val="swiss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swiss"/>
    <w:pitch w:val="default"/>
    <w:sig w:usb0="20000003" w:usb1="2ADF3C10" w:usb2="00000016" w:usb3="00000000" w:csb0="6006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2068" w:tblpY="16048"/>
      <w:tblOverlap w:val="never"/>
      <w:tblW w:w="800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40"/>
      <w:gridCol w:w="2641"/>
      <w:gridCol w:w="271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6" w:hRule="exact"/>
        <w:jc w:val="center"/>
      </w:trPr>
      <w:tc>
        <w:tcPr>
          <w:tcW w:w="264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19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6" w:hRule="exact"/>
        <w:jc w:val="center"/>
      </w:trPr>
      <w:tc>
        <w:tcPr>
          <w:tcW w:w="264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41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19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4" w:hRule="exact"/>
        <w:jc w:val="center"/>
      </w:trPr>
      <w:tc>
        <w:tcPr>
          <w:tcW w:w="264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6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6A881C"/>
    <w:multiLevelType w:val="singleLevel"/>
    <w:tmpl w:val="A66A881C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3061737A"/>
    <w:rsid w:val="3BD40F10"/>
    <w:rsid w:val="457A557E"/>
    <w:rsid w:val="4CBA6AF7"/>
    <w:rsid w:val="4DB50956"/>
    <w:rsid w:val="525B5F30"/>
    <w:rsid w:val="59B2381B"/>
    <w:rsid w:val="5BFC608D"/>
    <w:rsid w:val="642F1751"/>
    <w:rsid w:val="652619AF"/>
    <w:rsid w:val="71035DA5"/>
    <w:rsid w:val="7CE96CC2"/>
    <w:rsid w:val="7D196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en-US"/>
    </w:rPr>
  </w:style>
  <w:style w:type="paragraph" w:customStyle="1" w:styleId="16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character" w:customStyle="1" w:styleId="17">
    <w:name w:val="layui-layer-tabnow"/>
    <w:basedOn w:val="9"/>
    <w:uiPriority w:val="0"/>
    <w:rPr>
      <w:bdr w:val="single" w:color="CCCCCC" w:sz="6" w:space="0"/>
      <w:shd w:val="clear" w:fill="FFFFFF"/>
    </w:rPr>
  </w:style>
  <w:style w:type="character" w:customStyle="1" w:styleId="18">
    <w:name w:val="last-child"/>
    <w:basedOn w:val="9"/>
    <w:qFormat/>
    <w:uiPriority w:val="0"/>
    <w:rPr>
      <w:color w:val="535353"/>
      <w:shd w:val="clear" w:fill="E8EBEE"/>
    </w:rPr>
  </w:style>
  <w:style w:type="character" w:customStyle="1" w:styleId="19">
    <w:name w:val="first-child"/>
    <w:basedOn w:val="9"/>
    <w:qFormat/>
    <w:uiPriority w:val="0"/>
  </w:style>
  <w:style w:type="character" w:customStyle="1" w:styleId="20">
    <w:name w:val="first-child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2020-10-28T02:00:37Z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