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shd w:val="clear"/>
              <w:jc w:val="left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eastAsia="zh-CN"/>
              </w:rPr>
              <w:t>户外型</w:t>
            </w: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UHF</w:t>
            </w: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eastAsia="zh-CN"/>
              </w:rPr>
              <w:t>读写器</w:t>
            </w:r>
          </w:p>
          <w:p>
            <w:pPr>
              <w:pStyle w:val="3"/>
              <w:shd w:val="clear"/>
              <w:jc w:val="left"/>
              <w:rPr>
                <w:rFonts w:hint="default" w:eastAsia="微软雅黑"/>
                <w:b/>
                <w:bCs/>
                <w:color w:val="D70C19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0"/>
                <w:szCs w:val="40"/>
                <w:lang w:val="en-US" w:eastAsia="zh-CN"/>
              </w:rPr>
              <w:t>VF-647P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</w:pPr>
            <w: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2133600</wp:posOffset>
                  </wp:positionH>
                  <wp:positionV relativeFrom="paragraph">
                    <wp:posOffset>158750</wp:posOffset>
                  </wp:positionV>
                  <wp:extent cx="833755" cy="1471930"/>
                  <wp:effectExtent l="0" t="0" r="4445" b="13970"/>
                  <wp:wrapTight wrapText="bothSides">
                    <wp:wrapPolygon>
                      <wp:start x="0" y="0"/>
                      <wp:lineTo x="0" y="21246"/>
                      <wp:lineTo x="21222" y="21246"/>
                      <wp:lineTo x="21222" y="0"/>
                      <wp:lineTo x="0" y="0"/>
                    </wp:wrapPolygon>
                  </wp:wrapTight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755" cy="147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95885</wp:posOffset>
                  </wp:positionV>
                  <wp:extent cx="1829435" cy="1509395"/>
                  <wp:effectExtent l="0" t="0" r="18415" b="14605"/>
                  <wp:wrapTight wrapText="bothSides">
                    <wp:wrapPolygon>
                      <wp:start x="0" y="0"/>
                      <wp:lineTo x="0" y="21264"/>
                      <wp:lineTo x="21368" y="21264"/>
                      <wp:lineTo x="21368" y="0"/>
                      <wp:lineTo x="0" y="0"/>
                    </wp:wrapPolygon>
                  </wp:wrapTight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435" cy="150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</w:p>
        </w:tc>
      </w:tr>
    </w:tbl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rPr>
          <w:rFonts w:hint="eastAsia" w:ascii="微软雅黑" w:hAnsi="微软雅黑" w:eastAsia="微软雅黑" w:cs="微软雅黑"/>
          <w:spacing w:val="20"/>
          <w:sz w:val="18"/>
          <w:szCs w:val="18"/>
        </w:rPr>
      </w:pPr>
    </w:p>
    <w:p>
      <w:pPr>
        <w:widowControl/>
        <w:numPr>
          <w:ilvl w:val="0"/>
          <w:numId w:val="1"/>
        </w:numPr>
        <w:spacing w:line="270" w:lineRule="atLeast"/>
        <w:ind w:left="845" w:leftChars="0" w:right="0" w:rightChars="0" w:hanging="425" w:firstLineChars="0"/>
        <w:jc w:val="left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采用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Impinj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性能优异的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  <w:t>Indy R2000专用 UHF RFID芯片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，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具有出色的稳定性和强劲的多标签远距离识别性能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；</w:t>
      </w:r>
    </w:p>
    <w:p>
      <w:pPr>
        <w:widowControl/>
        <w:numPr>
          <w:ilvl w:val="0"/>
          <w:numId w:val="1"/>
        </w:numPr>
        <w:spacing w:line="270" w:lineRule="atLeast"/>
        <w:ind w:left="845" w:leftChars="0" w:right="0" w:rightChars="0" w:hanging="425" w:firstLineChars="0"/>
        <w:jc w:val="left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全面支持符合EPCglobal UHF Class 1 Gen 2 / ISO 18000-6C/ ISO18000-6B标准的电子标签；</w:t>
      </w:r>
      <w:bookmarkStart w:id="0" w:name="_GoBack"/>
      <w:bookmarkEnd w:id="0"/>
    </w:p>
    <w:p>
      <w:pPr>
        <w:widowControl/>
        <w:numPr>
          <w:ilvl w:val="0"/>
          <w:numId w:val="1"/>
        </w:numPr>
        <w:spacing w:line="270" w:lineRule="atLeast"/>
        <w:ind w:left="845" w:leftChars="0" w:right="0" w:rightChars="0" w:hanging="425" w:firstLineChars="0"/>
        <w:jc w:val="left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 xml:space="preserve"> 工作频率860-868MHZ，902-928MHZ(可按不同的国家或地区要求调整)；</w:t>
      </w:r>
    </w:p>
    <w:p>
      <w:pPr>
        <w:widowControl/>
        <w:numPr>
          <w:ilvl w:val="0"/>
          <w:numId w:val="1"/>
        </w:numPr>
        <w:spacing w:line="270" w:lineRule="atLeast"/>
        <w:ind w:left="845" w:leftChars="0" w:right="0" w:rightChars="0" w:hanging="425" w:firstLineChars="0"/>
        <w:jc w:val="left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支持韦根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  <w:t>、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RS232、RS485、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TCP/IP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、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  <w:t>或无线传输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等接口通信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  <w:t>方式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；</w:t>
      </w:r>
    </w:p>
    <w:p>
      <w:pPr>
        <w:widowControl/>
        <w:numPr>
          <w:ilvl w:val="0"/>
          <w:numId w:val="1"/>
        </w:numPr>
        <w:spacing w:line="270" w:lineRule="atLeast"/>
        <w:ind w:left="845" w:leftChars="0" w:right="0" w:rightChars="0" w:hanging="425" w:firstLineChars="0"/>
        <w:jc w:val="left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4个外接TNC天线接口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输出功率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0-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3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dbm可调，支持主动方式、命令方式、触发方式等多种工作模式；</w:t>
      </w:r>
    </w:p>
    <w:p>
      <w:pPr>
        <w:widowControl/>
        <w:numPr>
          <w:ilvl w:val="0"/>
          <w:numId w:val="1"/>
        </w:numPr>
        <w:spacing w:line="270" w:lineRule="atLeast"/>
        <w:ind w:left="845" w:leftChars="0" w:right="0" w:rightChars="0" w:hanging="425" w:firstLineChars="0"/>
        <w:jc w:val="left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 xml:space="preserve"> 读卡蜂鸣和LED状态指示；支持文件共享、ftp等固件的在线升级；</w:t>
      </w:r>
    </w:p>
    <w:p>
      <w:pPr>
        <w:widowControl/>
        <w:numPr>
          <w:ilvl w:val="0"/>
          <w:numId w:val="1"/>
        </w:numPr>
        <w:spacing w:line="270" w:lineRule="atLeast"/>
        <w:ind w:left="845" w:leftChars="0" w:right="0" w:rightChars="0" w:hanging="425" w:firstLineChars="0"/>
        <w:jc w:val="left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读写器提供多组I/O输入输出接口，便于产品应用集成；</w:t>
      </w:r>
    </w:p>
    <w:p>
      <w:pPr>
        <w:widowControl/>
        <w:numPr>
          <w:ilvl w:val="0"/>
          <w:numId w:val="1"/>
        </w:numPr>
        <w:spacing w:line="270" w:lineRule="atLeast"/>
        <w:ind w:left="845" w:leftChars="0" w:right="0" w:rightChars="0" w:hanging="425" w:firstLineChars="0"/>
        <w:jc w:val="left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采用高强度压铸铝材外壳，IP67防护等级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,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满足苛刻工作环境要求；</w:t>
      </w:r>
    </w:p>
    <w:p>
      <w:pPr>
        <w:widowControl/>
        <w:numPr>
          <w:ilvl w:val="0"/>
          <w:numId w:val="1"/>
        </w:numPr>
        <w:spacing w:line="270" w:lineRule="atLeast"/>
        <w:ind w:left="845" w:leftChars="0" w:right="0" w:rightChars="0" w:hanging="425" w:firstLineChars="0"/>
        <w:jc w:val="left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应用适合：智能交通、港口、码头车辆管理及室外恶劣环境使用等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  <w:t>；</w:t>
      </w:r>
    </w:p>
    <w:p>
      <w:pPr>
        <w:widowControl/>
        <w:spacing w:line="270" w:lineRule="atLeast"/>
        <w:ind w:firstLine="550"/>
        <w:jc w:val="left"/>
        <w:rPr>
          <w:rFonts w:hint="default" w:ascii="微软雅黑" w:hAnsi="微软雅黑" w:eastAsia="微软雅黑" w:cs="微软雅黑"/>
          <w:kern w:val="0"/>
          <w:sz w:val="18"/>
          <w:szCs w:val="18"/>
          <w:lang w:val="en-US" w:eastAsia="zh-CN"/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tbl>
      <w:tblPr>
        <w:tblStyle w:val="9"/>
        <w:tblpPr w:leftFromText="180" w:rightFromText="180" w:vertAnchor="text" w:horzAnchor="page" w:tblpX="950" w:tblpY="74"/>
        <w:tblOverlap w:val="never"/>
        <w:tblW w:w="10250" w:type="dxa"/>
        <w:tblInd w:w="0" w:type="dxa"/>
        <w:tblBorders>
          <w:top w:val="single" w:color="A4A4A4" w:themeColor="background1" w:themeShade="A5" w:sz="6" w:space="0"/>
          <w:left w:val="single" w:color="A4A4A4" w:themeColor="background1" w:themeShade="A5" w:sz="6" w:space="0"/>
          <w:bottom w:val="single" w:color="A4A4A4" w:themeColor="background1" w:themeShade="A5" w:sz="6" w:space="0"/>
          <w:right w:val="single" w:color="A4A4A4" w:themeColor="background1" w:themeShade="A5" w:sz="6" w:space="0"/>
          <w:insideH w:val="single" w:color="A4A4A4" w:themeColor="background1" w:themeShade="A5" w:sz="6" w:space="0"/>
          <w:insideV w:val="single" w:color="A4A4A4" w:themeColor="background1" w:themeShade="A5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6"/>
        <w:gridCol w:w="7384"/>
      </w:tblGrid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86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line="240" w:lineRule="auto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产品型号(订购代码)</w:t>
            </w:r>
          </w:p>
        </w:tc>
        <w:tc>
          <w:tcPr>
            <w:tcW w:w="738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line="240" w:lineRule="auto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VF-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47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P户外型读写器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0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tabs>
                <w:tab w:val="left" w:pos="3531"/>
              </w:tabs>
              <w:jc w:val="left"/>
              <w:rPr>
                <w:rFonts w:hint="eastAsia" w:ascii="宋体" w:hAnsi="宋体"/>
                <w:b/>
                <w:bCs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性  能  指  标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频率范围</w:t>
            </w:r>
          </w:p>
        </w:tc>
        <w:tc>
          <w:tcPr>
            <w:tcW w:w="738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  <w:lang w:val="en-US" w:eastAsia="zh-CN"/>
              </w:rPr>
              <w:t>902</w:t>
            </w: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Mhz – 9</w:t>
            </w: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  <w:lang w:val="en-US" w:eastAsia="zh-CN"/>
              </w:rPr>
              <w:t>28</w:t>
            </w: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Mhz</w:t>
            </w: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  <w:lang w:val="en-US" w:eastAsia="zh-CN"/>
              </w:rPr>
              <w:t>,865</w:t>
            </w: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Mhz</w:t>
            </w: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  <w:lang w:val="en-US" w:eastAsia="zh-CN"/>
              </w:rPr>
              <w:t>-868</w:t>
            </w: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Mhz（随国家或地区不同可以调整）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工作区域支持</w:t>
            </w:r>
          </w:p>
        </w:tc>
        <w:tc>
          <w:tcPr>
            <w:tcW w:w="738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 xml:space="preserve">US, Canada and other regions following U.S. FCC </w:t>
            </w:r>
          </w:p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Europe and other regions following ETSI EN 302 208 with &amp; without LBT regulations</w:t>
            </w:r>
          </w:p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Mainland China</w:t>
            </w: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Japan</w:t>
            </w: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Korea</w:t>
            </w: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Malaysia</w:t>
            </w: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Taiwan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调频方式</w:t>
            </w:r>
          </w:p>
        </w:tc>
        <w:tc>
          <w:tcPr>
            <w:tcW w:w="738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广谱调频（FHSS）或定频，可软件设置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射频输出</w:t>
            </w:r>
          </w:p>
        </w:tc>
        <w:tc>
          <w:tcPr>
            <w:tcW w:w="738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0-3</w:t>
            </w: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dBm；50欧负载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盘存标签峰值速度</w:t>
            </w:r>
          </w:p>
        </w:tc>
        <w:tc>
          <w:tcPr>
            <w:tcW w:w="738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firstLine="102" w:firstLineChars="49"/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 xml:space="preserve">&gt; </w:t>
            </w: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 xml:space="preserve">00 张/秒 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标签缓存区</w:t>
            </w:r>
          </w:p>
        </w:tc>
        <w:tc>
          <w:tcPr>
            <w:tcW w:w="738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firstLine="102" w:firstLineChars="49"/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800张标签 @ 96 bit EPC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标签RSSI</w:t>
            </w:r>
          </w:p>
        </w:tc>
        <w:tc>
          <w:tcPr>
            <w:tcW w:w="738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firstLine="102" w:firstLineChars="49"/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支持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天线连接保护</w:t>
            </w:r>
          </w:p>
        </w:tc>
        <w:tc>
          <w:tcPr>
            <w:tcW w:w="738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firstLine="102" w:firstLineChars="49"/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支持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环境温度监测</w:t>
            </w:r>
          </w:p>
        </w:tc>
        <w:tc>
          <w:tcPr>
            <w:tcW w:w="738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firstLine="102" w:firstLineChars="49"/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支持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250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firstLine="102" w:firstLineChars="49"/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天线数量</w:t>
            </w:r>
          </w:p>
        </w:tc>
        <w:tc>
          <w:tcPr>
            <w:tcW w:w="738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 xml:space="preserve">1个TNC天线接口；2 个TNC天线接口；4个 TNC天线接口可选 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通讯接口</w:t>
            </w:r>
          </w:p>
        </w:tc>
        <w:tc>
          <w:tcPr>
            <w:tcW w:w="738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  <w:lang w:val="en-US" w:eastAsia="zh-CN"/>
              </w:rPr>
              <w:t>TCP/IP</w:t>
            </w: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、RS232、RS485、Wiegand26/34接口</w:t>
            </w: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  <w:lang w:eastAsia="zh-CN"/>
              </w:rPr>
              <w:t>或</w:t>
            </w: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  <w:lang w:val="en-US" w:eastAsia="zh-CN"/>
              </w:rPr>
              <w:t>4G无线通讯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通信速率</w:t>
            </w:r>
          </w:p>
        </w:tc>
        <w:tc>
          <w:tcPr>
            <w:tcW w:w="738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串口速率9600～115200bps，RJ45为10Mbps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可靠的固件升级</w:t>
            </w:r>
          </w:p>
        </w:tc>
        <w:tc>
          <w:tcPr>
            <w:tcW w:w="738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可扩展的升级机制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通用输入/输出（GPIO）</w:t>
            </w:r>
          </w:p>
        </w:tc>
        <w:tc>
          <w:tcPr>
            <w:tcW w:w="738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2路输入、1路输出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应用软件接口</w:t>
            </w:r>
          </w:p>
        </w:tc>
        <w:tc>
          <w:tcPr>
            <w:tcW w:w="738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提供API开发包及VC和VB、Java应用例程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0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tabs>
                <w:tab w:val="left" w:pos="3531"/>
              </w:tabs>
              <w:jc w:val="left"/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标  签  操  作  性  能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读取距离</w:t>
            </w:r>
          </w:p>
        </w:tc>
        <w:tc>
          <w:tcPr>
            <w:tcW w:w="738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8dbi天线配置，典型读取距离3-25米（和标签性能有关）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读卡模式</w:t>
            </w:r>
          </w:p>
        </w:tc>
        <w:tc>
          <w:tcPr>
            <w:tcW w:w="738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支持主动方式、命令方式、触发方式等多种工作模式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空中接口协议</w:t>
            </w:r>
          </w:p>
        </w:tc>
        <w:tc>
          <w:tcPr>
            <w:tcW w:w="738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EPCglobal UHF Class 1 Gen 2 / ISO 18000-6C/ ISO18000-6B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最大接收灵敏度</w:t>
            </w:r>
          </w:p>
        </w:tc>
        <w:tc>
          <w:tcPr>
            <w:tcW w:w="738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-82 dBm; 最大返回损耗: 10 Dbm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0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tabs>
                <w:tab w:val="left" w:pos="3531"/>
              </w:tabs>
              <w:jc w:val="left"/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机  械  电  气  性  能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尺寸</w:t>
            </w:r>
          </w:p>
        </w:tc>
        <w:tc>
          <w:tcPr>
            <w:tcW w:w="738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2</w:t>
            </w: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  <w:lang w:val="en-US" w:eastAsia="zh-CN"/>
              </w:rPr>
              <w:t>95</w:t>
            </w: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(长)*2</w:t>
            </w: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 xml:space="preserve"> (宽)*</w:t>
            </w: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  <w:lang w:val="en-US" w:eastAsia="zh-CN"/>
              </w:rPr>
              <w:t>95</w:t>
            </w: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(厚)mm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材质</w:t>
            </w:r>
          </w:p>
        </w:tc>
        <w:tc>
          <w:tcPr>
            <w:tcW w:w="738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压铸</w:t>
            </w: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  <w:lang w:eastAsia="zh-CN"/>
              </w:rPr>
              <w:t>铝合金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电源</w:t>
            </w:r>
          </w:p>
        </w:tc>
        <w:tc>
          <w:tcPr>
            <w:tcW w:w="738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配有220V交流输入，＋12V/3A直流输出的电源变换器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射频输出接口</w:t>
            </w:r>
          </w:p>
        </w:tc>
        <w:tc>
          <w:tcPr>
            <w:tcW w:w="738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TNC型连接器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重量</w:t>
            </w:r>
          </w:p>
        </w:tc>
        <w:tc>
          <w:tcPr>
            <w:tcW w:w="738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＜2KG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湿度</w:t>
            </w:r>
          </w:p>
        </w:tc>
        <w:tc>
          <w:tcPr>
            <w:tcW w:w="738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5% to 95%, 非凝结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防护等级</w:t>
            </w:r>
          </w:p>
        </w:tc>
        <w:tc>
          <w:tcPr>
            <w:tcW w:w="738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IEC IP</w:t>
            </w: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  <w:lang w:val="en-US" w:eastAsia="zh-CN"/>
              </w:rPr>
              <w:t>65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工作温度</w:t>
            </w:r>
          </w:p>
        </w:tc>
        <w:tc>
          <w:tcPr>
            <w:tcW w:w="738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-20 ºC to +</w:t>
            </w: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  <w:lang w:val="en-US" w:eastAsia="zh-CN"/>
              </w:rPr>
              <w:t>75</w:t>
            </w: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  ºC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存储温度</w:t>
            </w:r>
          </w:p>
        </w:tc>
        <w:tc>
          <w:tcPr>
            <w:tcW w:w="738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-40°C to 8</w:t>
            </w: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°C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合规性认证</w:t>
            </w:r>
          </w:p>
        </w:tc>
        <w:tc>
          <w:tcPr>
            <w:tcW w:w="738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FCC认证、CE认证</w:t>
            </w:r>
          </w:p>
        </w:tc>
      </w:tr>
    </w:tbl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32B166"/>
    <w:multiLevelType w:val="singleLevel"/>
    <w:tmpl w:val="9932B166"/>
    <w:lvl w:ilvl="0" w:tentative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BB126C2"/>
    <w:rsid w:val="150250A7"/>
    <w:rsid w:val="1D0E26CB"/>
    <w:rsid w:val="1E850432"/>
    <w:rsid w:val="2564383B"/>
    <w:rsid w:val="26216889"/>
    <w:rsid w:val="29AE3FC0"/>
    <w:rsid w:val="4DB50956"/>
    <w:rsid w:val="525B5F30"/>
    <w:rsid w:val="54EE5873"/>
    <w:rsid w:val="59B2381B"/>
    <w:rsid w:val="652619AF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9">
    <w:name w:val="Table Grid 8"/>
    <w:basedOn w:val="7"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  <w:tblLayout w:type="fixed"/>
    </w:tblPr>
    <w:tcPr>
      <w:shd w:val="clear" w:color="auto" w:fill="auto"/>
    </w:tcPr>
    <w:tblStylePr w:type="firstRow">
      <w:rPr>
        <w:b/>
        <w:bCs/>
        <w:color w:val="FFFFFF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11">
    <w:name w:val="Strong"/>
    <w:qFormat/>
    <w:uiPriority w:val="22"/>
    <w:rPr>
      <w:b/>
    </w:rPr>
  </w:style>
  <w:style w:type="table" w:customStyle="1" w:styleId="12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rPr>
      <w:lang w:val="en-US" w:eastAsia="en-US" w:bidi="en-US"/>
    </w:rPr>
  </w:style>
  <w:style w:type="paragraph" w:customStyle="1" w:styleId="14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2020-06-15T02:56:56Z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