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shd w:val="clear"/>
              <w:ind w:right="-486" w:rightChars="-221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</w:p>
          <w:p>
            <w:pPr>
              <w:pStyle w:val="3"/>
              <w:shd w:val="clear"/>
              <w:ind w:right="-486" w:rightChars="-221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ABS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  <w:lang w:eastAsia="zh-CN"/>
              </w:rPr>
              <w:t>塑封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抗金属标签</w:t>
            </w:r>
          </w:p>
          <w:p>
            <w:pPr>
              <w:pStyle w:val="3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36"/>
                <w:szCs w:val="36"/>
              </w:rPr>
              <w:t>VT-83Q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cs="Arial"/>
                <w:color w:val="000000"/>
                <w:sz w:val="18"/>
                <w:szCs w:val="18"/>
              </w:rPr>
              <w:drawing>
                <wp:inline distT="0" distB="0" distL="114300" distR="114300">
                  <wp:extent cx="1468755" cy="1800225"/>
                  <wp:effectExtent l="0" t="0" r="17145" b="9525"/>
                  <wp:docPr id="5" name="图片 1" descr="VT-83Q 拷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VT-83Q 拷贝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87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简单介绍：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是一款带PC材料封装的长读距工业标签,这款抗金属rfid标签有两个孔，可使用铆钉或其它紧固件进行安装。该长读距工业标签具有非常优秀且稳定的识别性能，当标签附于金属上读距高达10米以上。可广泛应用于托盘管理、货架管理、仓储物流管理、资产管理与设备巡检、生产过程管理、追踪追溯管理、化学物品物流供应管理等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bookmarkStart w:id="0" w:name="_GoBack"/>
      <w:bookmarkEnd w:id="0"/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W w:w="10409" w:type="dxa"/>
        <w:jc w:val="center"/>
        <w:tblInd w:w="-499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7378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0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规 格 描 述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产品型号(订购代码)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VT-83Q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40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FFFF" w:themeColor="background1"/>
                <w:sz w:val="21"/>
                <w:szCs w:val="21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EPC CLASS1 Gen 2/ISO 18000-6C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Higgs系列 / IMPINJ Monza 系列 / NXP （根据客户要求）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工作频率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860—960Mhz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存储容量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96bit可扩展至512bit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尺寸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110 * 25 * 12.85 mm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工作模式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可读写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读取距离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≥18m(与读写器性能及工作环境有关)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存储时间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可擦写次数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＞100,000次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工作温度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-20℃ ～+80℃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-40℃~+80℃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ABS塑料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安装方式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螺钉、铆钉、3M胶粘安装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0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</w:t>
            </w:r>
          </w:p>
        </w:tc>
        <w:tc>
          <w:tcPr>
            <w:tcW w:w="737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托盘管理、货架管理、仓储物流管理、资产管理与设备巡检、生产过程管理、追踪追溯管理、化学物品物流供应管理等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1D5D6E"/>
    <w:rsid w:val="0BB126C2"/>
    <w:rsid w:val="12A56573"/>
    <w:rsid w:val="150250A7"/>
    <w:rsid w:val="1CA77FEB"/>
    <w:rsid w:val="1DDF0C1F"/>
    <w:rsid w:val="26216889"/>
    <w:rsid w:val="29AE3FC0"/>
    <w:rsid w:val="2B754B8C"/>
    <w:rsid w:val="4B9F2BD0"/>
    <w:rsid w:val="4DB50956"/>
    <w:rsid w:val="525B5F30"/>
    <w:rsid w:val="59B2381B"/>
    <w:rsid w:val="652619AF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Cambria" w:hAnsi="Cambria" w:eastAsia="宋体" w:cs="Cambr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