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48"/>
        <w:gridCol w:w="5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448" w:type="dxa"/>
          </w:tcPr>
          <w:p>
            <w:pPr>
              <w:pStyle w:val="3"/>
              <w:shd w:val="clear"/>
              <w:jc w:val="left"/>
              <w:rPr>
                <w:rFonts w:hint="eastAsia" w:ascii="微软雅黑" w:hAnsi="微软雅黑" w:eastAsia="微软雅黑" w:cs="宋体"/>
                <w:b/>
                <w:bCs/>
                <w:color w:val="D70C19"/>
                <w:w w:val="102"/>
                <w:kern w:val="0"/>
                <w:position w:val="1"/>
                <w:sz w:val="44"/>
                <w:szCs w:val="44"/>
                <w:lang w:eastAsia="zh-CN"/>
              </w:rPr>
            </w:pPr>
          </w:p>
          <w:p>
            <w:pPr>
              <w:pStyle w:val="3"/>
              <w:shd w:val="clear"/>
              <w:jc w:val="left"/>
              <w:rPr>
                <w:rFonts w:hint="eastAsia" w:ascii="微软雅黑" w:hAnsi="微软雅黑" w:eastAsia="微软雅黑" w:cs="宋体"/>
                <w:b/>
                <w:bCs/>
                <w:color w:val="D70C19"/>
                <w:w w:val="102"/>
                <w:kern w:val="0"/>
                <w:position w:val="1"/>
                <w:sz w:val="44"/>
                <w:szCs w:val="44"/>
                <w:lang w:eastAsia="zh-CN"/>
              </w:rPr>
            </w:pPr>
            <w:bookmarkStart w:id="0" w:name="_GoBack"/>
            <w:r>
              <w:rPr>
                <w:rFonts w:hint="eastAsia" w:ascii="微软雅黑" w:hAnsi="微软雅黑" w:eastAsia="微软雅黑" w:cs="宋体"/>
                <w:b/>
                <w:bCs/>
                <w:color w:val="D70C19"/>
                <w:w w:val="102"/>
                <w:kern w:val="0"/>
                <w:position w:val="1"/>
                <w:sz w:val="44"/>
                <w:szCs w:val="44"/>
                <w:lang w:eastAsia="zh-CN"/>
              </w:rPr>
              <w:t>户外型低频激励器</w:t>
            </w:r>
          </w:p>
          <w:p>
            <w:pPr>
              <w:pStyle w:val="3"/>
              <w:shd w:val="clear"/>
              <w:jc w:val="left"/>
              <w:rPr>
                <w:rFonts w:hint="eastAsia" w:ascii="微软雅黑" w:hAnsi="微软雅黑" w:eastAsia="微软雅黑" w:cs="宋体"/>
                <w:b/>
                <w:bCs/>
                <w:color w:val="D70C19"/>
                <w:w w:val="102"/>
                <w:kern w:val="0"/>
                <w:position w:val="1"/>
                <w:sz w:val="44"/>
                <w:szCs w:val="44"/>
                <w:lang w:val="en-US" w:eastAsia="zh-CN"/>
              </w:rPr>
            </w:pPr>
            <w:r>
              <w:rPr>
                <w:rFonts w:hint="eastAsia" w:ascii="微软雅黑" w:hAnsi="微软雅黑" w:eastAsia="微软雅黑" w:cs="宋体"/>
                <w:b/>
                <w:bCs/>
                <w:color w:val="D70C19"/>
                <w:w w:val="102"/>
                <w:kern w:val="0"/>
                <w:position w:val="1"/>
                <w:sz w:val="44"/>
                <w:szCs w:val="44"/>
                <w:lang w:val="en-US" w:eastAsia="zh-CN"/>
              </w:rPr>
              <w:t>VGL-125IP65</w:t>
            </w:r>
          </w:p>
          <w:bookmarkEnd w:id="0"/>
          <w:p>
            <w:pPr>
              <w:pStyle w:val="3"/>
              <w:shd w:val="clear"/>
              <w:jc w:val="left"/>
              <w:rPr>
                <w:rFonts w:hint="default" w:ascii="微软雅黑" w:hAnsi="微软雅黑" w:eastAsia="微软雅黑" w:cs="宋体"/>
                <w:b/>
                <w:bCs/>
                <w:color w:val="D70C19"/>
                <w:w w:val="102"/>
                <w:kern w:val="0"/>
                <w:position w:val="1"/>
                <w:sz w:val="44"/>
                <w:szCs w:val="44"/>
                <w:lang w:val="en-US" w:eastAsia="zh-CN"/>
              </w:rPr>
            </w:pPr>
          </w:p>
          <w:p>
            <w:pPr>
              <w:pStyle w:val="3"/>
              <w:rPr>
                <w:rFonts w:ascii="Times New Roman"/>
                <w:sz w:val="20"/>
                <w:vertAlign w:val="baseline"/>
              </w:rPr>
            </w:pPr>
          </w:p>
        </w:tc>
        <w:tc>
          <w:tcPr>
            <w:tcW w:w="5448" w:type="dxa"/>
          </w:tcPr>
          <w:p>
            <w:pPr>
              <w:pStyle w:val="3"/>
              <w:spacing w:line="360" w:lineRule="auto"/>
              <w:jc w:val="center"/>
            </w:pPr>
          </w:p>
          <w:p>
            <w:pPr>
              <w:pStyle w:val="3"/>
              <w:spacing w:line="360" w:lineRule="auto"/>
              <w:jc w:val="center"/>
              <w:rPr>
                <w:rFonts w:ascii="Times New Roman"/>
                <w:sz w:val="20"/>
                <w:vertAlign w:val="baseline"/>
              </w:rPr>
            </w:pP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548005</wp:posOffset>
                  </wp:positionH>
                  <wp:positionV relativeFrom="paragraph">
                    <wp:posOffset>257175</wp:posOffset>
                  </wp:positionV>
                  <wp:extent cx="2503170" cy="1442085"/>
                  <wp:effectExtent l="0" t="0" r="11430" b="5715"/>
                  <wp:wrapNone/>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6"/>
                          <a:srcRect l="11096" t="15694" b="11866"/>
                          <a:stretch>
                            <a:fillRect/>
                          </a:stretch>
                        </pic:blipFill>
                        <pic:spPr>
                          <a:xfrm>
                            <a:off x="0" y="0"/>
                            <a:ext cx="2503170" cy="1442085"/>
                          </a:xfrm>
                          <a:prstGeom prst="rect">
                            <a:avLst/>
                          </a:prstGeom>
                          <a:noFill/>
                          <a:ln w="9525">
                            <a:noFill/>
                          </a:ln>
                        </pic:spPr>
                      </pic:pic>
                    </a:graphicData>
                  </a:graphic>
                </wp:anchor>
              </w:drawing>
            </w:r>
          </w:p>
        </w:tc>
      </w:tr>
    </w:tbl>
    <w:p>
      <w:pPr>
        <w:pStyle w:val="3"/>
        <w:rPr>
          <w:rFonts w:hint="eastAsia" w:ascii="微软雅黑" w:hAnsi="微软雅黑" w:eastAsia="微软雅黑" w:cs="宋体"/>
          <w:b/>
          <w:bCs/>
          <w:color w:val="000000" w:themeColor="text1"/>
          <w:w w:val="102"/>
          <w:kern w:val="0"/>
          <w:position w:val="1"/>
          <w:sz w:val="24"/>
          <w:szCs w:val="24"/>
          <w:lang w:val="en-US" w:eastAsia="zh-CN"/>
          <w14:textFill>
            <w14:solidFill>
              <w14:schemeClr w14:val="tx1"/>
            </w14:solidFill>
          </w14:textFill>
        </w:rPr>
      </w:pPr>
    </w:p>
    <w:p>
      <w:pPr>
        <w:pStyle w:val="3"/>
        <w:keepNext w:val="0"/>
        <w:keepLines w:val="0"/>
        <w:pageBreakBefore w:val="0"/>
        <w:widowControl w:val="0"/>
        <w:kinsoku/>
        <w:wordWrap/>
        <w:overflowPunct/>
        <w:topLinePunct w:val="0"/>
        <w:autoSpaceDE w:val="0"/>
        <w:autoSpaceDN w:val="0"/>
        <w:bidi w:val="0"/>
        <w:adjustRightInd/>
        <w:snapToGrid/>
        <w:jc w:val="left"/>
        <w:textAlignment w:val="auto"/>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产品特性：</w:t>
      </w:r>
    </w:p>
    <w:p>
      <w:pPr>
        <w:pStyle w:val="3"/>
        <w:keepNext w:val="0"/>
        <w:keepLines w:val="0"/>
        <w:pageBreakBefore w:val="0"/>
        <w:widowControl w:val="0"/>
        <w:kinsoku/>
        <w:wordWrap/>
        <w:overflowPunct/>
        <w:topLinePunct w:val="0"/>
        <w:autoSpaceDE w:val="0"/>
        <w:autoSpaceDN w:val="0"/>
        <w:bidi w:val="0"/>
        <w:adjustRightInd/>
        <w:snapToGrid/>
        <w:jc w:val="left"/>
        <w:textAlignment w:val="auto"/>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p>
    <w:p>
      <w:pPr>
        <w:bidi w:val="0"/>
        <w:ind w:firstLine="630" w:firstLineChars="3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VGL-125IP65低频激励器是一款125KHz低频激励信号发生器。它与2.4GHz有源激励标签和2.4GHz有源读卡器共同组成具有激励功能的2.4GHz有源射频识别系统。</w:t>
      </w:r>
    </w:p>
    <w:p>
      <w:pPr>
        <w:bidi w:val="0"/>
        <w:ind w:firstLine="630" w:firstLineChars="300"/>
        <w:rPr>
          <w:rFonts w:hint="eastAsia" w:ascii="微软雅黑" w:hAnsi="微软雅黑" w:eastAsia="微软雅黑" w:cs="微软雅黑"/>
          <w:sz w:val="21"/>
          <w:szCs w:val="21"/>
          <w:lang w:val="en-US" w:eastAsia="zh-CN"/>
        </w:rPr>
      </w:pPr>
    </w:p>
    <w:p>
      <w:pPr>
        <w:bidi w:val="0"/>
        <w:ind w:firstLine="630" w:firstLineChars="3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低频激励器主动向外部发送连续的125KHz的数字脉冲信号（数字脉冲信号包含该激励器的数字识别号）。低频激励器用来唤醒进入激励范围的2.4GHz有源激励标签。处于休眠状态的有源激励标签被低频激励器的信号唤醒并接收相应的数字信号，再与激励标签自身的识别号组合，通过高频信道向外部发送带有激励器识别号和自身识别号的射频数字信号。有源读卡器接收到激励标签的信号，通过网络发送主机处理。</w:t>
      </w:r>
    </w:p>
    <w:p>
      <w:pPr>
        <w:bidi w:val="0"/>
        <w:ind w:firstLine="630" w:firstLineChars="300"/>
        <w:rPr>
          <w:rFonts w:hint="eastAsia" w:ascii="微软雅黑" w:hAnsi="微软雅黑" w:eastAsia="微软雅黑" w:cs="微软雅黑"/>
          <w:sz w:val="21"/>
          <w:szCs w:val="21"/>
          <w:lang w:val="en-US" w:eastAsia="zh-CN"/>
        </w:rPr>
      </w:pPr>
    </w:p>
    <w:p>
      <w:pPr>
        <w:bidi w:val="0"/>
        <w:ind w:firstLine="630" w:firstLineChars="3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在一个定位系统中，采用低频激励器作为坐标点，就形成一个数字地图，给移动的物体（人或者其他跟踪对象）安装一个激励标签，在数字地图中激励标签被作为坐标点的激励器唤醒并发送激励器和自身识别信号，通过有源读卡器就在数字地图中形成相关轨迹，实现对移动物体的定位。</w:t>
      </w:r>
    </w:p>
    <w:p>
      <w:pPr>
        <w:bidi w:val="0"/>
        <w:ind w:firstLine="630" w:firstLineChars="300"/>
        <w:rPr>
          <w:rFonts w:hint="eastAsia" w:ascii="微软雅黑" w:hAnsi="微软雅黑" w:eastAsia="微软雅黑" w:cs="微软雅黑"/>
          <w:sz w:val="21"/>
          <w:szCs w:val="21"/>
          <w:lang w:val="en-US" w:eastAsia="zh-CN"/>
        </w:rPr>
      </w:pPr>
    </w:p>
    <w:p>
      <w:pPr>
        <w:bidi w:val="0"/>
        <w:ind w:firstLine="630" w:firstLineChars="30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低频激励器的数字识别号通过机身的USB接口由计算机进行设置。供电采用外接电源供电，机身采用塑胶防水外壳，电源接口和数据接口均采用防水接口。整机美观大方，防水等级达到IP65。适宜室内室外安装。在设置好数字识别号后，现场安装只需对低频激励器进行固定和通电即可正常工作。</w:t>
      </w:r>
    </w:p>
    <w:p>
      <w:pPr>
        <w:bidi w:val="0"/>
        <w:rPr>
          <w:rFonts w:hint="eastAsia" w:ascii="微软雅黑" w:hAnsi="微软雅黑" w:eastAsia="微软雅黑" w:cs="微软雅黑"/>
          <w:sz w:val="21"/>
          <w:szCs w:val="21"/>
          <w:lang w:val="en-US" w:eastAsia="zh-CN"/>
        </w:rPr>
      </w:pPr>
    </w:p>
    <w:p>
      <w:pPr>
        <w:numPr>
          <w:ilvl w:val="0"/>
          <w:numId w:val="1"/>
        </w:numPr>
        <w:bidi w:val="0"/>
        <w:ind w:left="420" w:leftChars="0" w:hanging="420" w:firstLineChars="0"/>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低频激励器为不同应用环境设置两种工作模式：</w:t>
      </w:r>
    </w:p>
    <w:p>
      <w:pPr>
        <w:numPr>
          <w:numId w:val="0"/>
        </w:numPr>
        <w:bidi w:val="0"/>
        <w:ind w:leftChars="0" w:right="0" w:rightChars="0"/>
        <w:rPr>
          <w:rFonts w:hint="eastAsia" w:ascii="微软雅黑" w:hAnsi="微软雅黑" w:eastAsia="微软雅黑" w:cs="微软雅黑"/>
          <w:b/>
          <w:bCs/>
          <w:sz w:val="21"/>
          <w:szCs w:val="21"/>
          <w:lang w:val="en-US" w:eastAsia="zh-CN"/>
        </w:rPr>
      </w:pPr>
    </w:p>
    <w:p>
      <w:pPr>
        <w:numPr>
          <w:ilvl w:val="0"/>
          <w:numId w:val="2"/>
        </w:numPr>
        <w:bidi w:val="0"/>
        <w:ind w:left="845" w:leftChars="0" w:hanging="425" w:firstLineChars="0"/>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点激励模式：以低频激励器为中心的点激励模式（正面半径&gt;2.5M）</w:t>
      </w:r>
    </w:p>
    <w:p>
      <w:pPr>
        <w:numPr>
          <w:ilvl w:val="0"/>
          <w:numId w:val="2"/>
        </w:numPr>
        <w:bidi w:val="0"/>
        <w:ind w:left="845" w:leftChars="0" w:hanging="425" w:firstLineChars="0"/>
        <w:rPr>
          <w:rFonts w:hint="eastAsia" w:ascii="微软雅黑" w:hAnsi="微软雅黑" w:eastAsia="微软雅黑" w:cs="微软雅黑"/>
          <w:b w:val="0"/>
          <w:bCs w:val="0"/>
          <w:sz w:val="21"/>
          <w:szCs w:val="21"/>
        </w:rPr>
      </w:pPr>
      <w:r>
        <w:rPr>
          <w:rFonts w:hint="eastAsia" w:ascii="微软雅黑" w:hAnsi="微软雅黑" w:eastAsia="微软雅黑" w:cs="微软雅黑"/>
          <w:sz w:val="21"/>
          <w:szCs w:val="21"/>
          <w:lang w:val="en-US" w:eastAsia="zh-CN"/>
        </w:rPr>
        <w:t>地感激励模式：单匝地感线激励，激励范围为地感线面积；施工仅需要用切割机在地面切出5mm宽、10mm深的槽，将地感线成环形铺设一匝即可。</w:t>
      </w:r>
    </w:p>
    <w:p>
      <w:pPr>
        <w:widowControl w:val="0"/>
        <w:numPr>
          <w:numId w:val="0"/>
        </w:numPr>
        <w:tabs>
          <w:tab w:val="left" w:pos="420"/>
        </w:tabs>
        <w:autoSpaceDE w:val="0"/>
        <w:autoSpaceDN w:val="0"/>
        <w:bidi w:val="0"/>
        <w:spacing w:before="0" w:after="0" w:line="240" w:lineRule="auto"/>
        <w:ind w:right="0" w:rightChars="0"/>
        <w:jc w:val="left"/>
        <w:rPr>
          <w:rFonts w:hint="eastAsia" w:ascii="微软雅黑" w:hAnsi="微软雅黑" w:eastAsia="微软雅黑" w:cs="微软雅黑"/>
          <w:sz w:val="24"/>
          <w:szCs w:val="24"/>
          <w:lang w:val="en-US" w:eastAsia="zh-CN"/>
        </w:rPr>
      </w:pPr>
    </w:p>
    <w:p>
      <w:pPr>
        <w:widowControl w:val="0"/>
        <w:numPr>
          <w:numId w:val="0"/>
        </w:numPr>
        <w:tabs>
          <w:tab w:val="left" w:pos="420"/>
        </w:tabs>
        <w:autoSpaceDE w:val="0"/>
        <w:autoSpaceDN w:val="0"/>
        <w:bidi w:val="0"/>
        <w:spacing w:before="0" w:after="0" w:line="240" w:lineRule="auto"/>
        <w:ind w:right="0" w:rightChars="0"/>
        <w:jc w:val="left"/>
        <w:rPr>
          <w:rFonts w:hint="eastAsia" w:ascii="微软雅黑" w:hAnsi="微软雅黑" w:eastAsia="微软雅黑" w:cs="微软雅黑"/>
          <w:sz w:val="24"/>
          <w:szCs w:val="24"/>
          <w:lang w:val="en-US" w:eastAsia="zh-CN"/>
        </w:rPr>
      </w:pPr>
    </w:p>
    <w:p>
      <w:pPr>
        <w:widowControl w:val="0"/>
        <w:numPr>
          <w:numId w:val="0"/>
        </w:numPr>
        <w:tabs>
          <w:tab w:val="left" w:pos="420"/>
        </w:tabs>
        <w:autoSpaceDE w:val="0"/>
        <w:autoSpaceDN w:val="0"/>
        <w:bidi w:val="0"/>
        <w:spacing w:before="0" w:after="0" w:line="240" w:lineRule="auto"/>
        <w:ind w:right="0" w:rightChars="0"/>
        <w:jc w:val="left"/>
        <w:rPr>
          <w:rFonts w:hint="eastAsia" w:ascii="微软雅黑" w:hAnsi="微软雅黑" w:eastAsia="微软雅黑" w:cs="微软雅黑"/>
          <w:sz w:val="24"/>
          <w:szCs w:val="24"/>
          <w:lang w:val="en-US" w:eastAsia="zh-CN"/>
        </w:rPr>
      </w:pPr>
    </w:p>
    <w:p>
      <w:pPr>
        <w:widowControl w:val="0"/>
        <w:numPr>
          <w:numId w:val="0"/>
        </w:numPr>
        <w:tabs>
          <w:tab w:val="left" w:pos="420"/>
        </w:tabs>
        <w:autoSpaceDE w:val="0"/>
        <w:autoSpaceDN w:val="0"/>
        <w:bidi w:val="0"/>
        <w:spacing w:before="0" w:after="0" w:line="240" w:lineRule="auto"/>
        <w:ind w:right="0" w:rightChars="0"/>
        <w:jc w:val="left"/>
        <w:rPr>
          <w:rFonts w:hint="eastAsia" w:ascii="微软雅黑" w:hAnsi="微软雅黑" w:eastAsia="微软雅黑" w:cs="微软雅黑"/>
          <w:sz w:val="24"/>
          <w:szCs w:val="24"/>
          <w:lang w:val="en-US" w:eastAsia="zh-CN"/>
        </w:rPr>
      </w:pPr>
    </w:p>
    <w:p>
      <w:pPr>
        <w:widowControl w:val="0"/>
        <w:numPr>
          <w:numId w:val="0"/>
        </w:numPr>
        <w:tabs>
          <w:tab w:val="left" w:pos="420"/>
        </w:tabs>
        <w:autoSpaceDE w:val="0"/>
        <w:autoSpaceDN w:val="0"/>
        <w:bidi w:val="0"/>
        <w:spacing w:before="0" w:after="0" w:line="240" w:lineRule="auto"/>
        <w:ind w:right="0" w:rightChars="0"/>
        <w:jc w:val="left"/>
        <w:rPr>
          <w:rFonts w:hint="eastAsia" w:ascii="微软雅黑" w:hAnsi="微软雅黑" w:eastAsia="微软雅黑" w:cs="微软雅黑"/>
          <w:sz w:val="24"/>
          <w:szCs w:val="24"/>
          <w:lang w:val="en-US" w:eastAsia="zh-CN"/>
        </w:rPr>
      </w:pPr>
    </w:p>
    <w:p>
      <w:pPr>
        <w:pStyle w:val="3"/>
        <w:keepNext w:val="0"/>
        <w:keepLines w:val="0"/>
        <w:pageBreakBefore w:val="0"/>
        <w:widowControl w:val="0"/>
        <w:kinsoku/>
        <w:wordWrap/>
        <w:overflowPunct/>
        <w:topLinePunct w:val="0"/>
        <w:autoSpaceDE w:val="0"/>
        <w:autoSpaceDN w:val="0"/>
        <w:bidi w:val="0"/>
        <w:adjustRightInd/>
        <w:snapToGrid/>
        <w:jc w:val="left"/>
        <w:textAlignment w:val="auto"/>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t>产品参数：</w:t>
      </w:r>
    </w:p>
    <w:p>
      <w:pPr>
        <w:pStyle w:val="3"/>
        <w:keepNext w:val="0"/>
        <w:keepLines w:val="0"/>
        <w:pageBreakBefore w:val="0"/>
        <w:widowControl w:val="0"/>
        <w:kinsoku/>
        <w:wordWrap/>
        <w:overflowPunct/>
        <w:topLinePunct w:val="0"/>
        <w:autoSpaceDE w:val="0"/>
        <w:autoSpaceDN w:val="0"/>
        <w:bidi w:val="0"/>
        <w:adjustRightInd/>
        <w:snapToGrid/>
        <w:jc w:val="left"/>
        <w:textAlignment w:val="auto"/>
        <w:rPr>
          <w:rFonts w:hint="eastAsia" w:ascii="微软雅黑" w:hAnsi="微软雅黑" w:eastAsia="微软雅黑" w:cs="微软雅黑"/>
          <w:b/>
          <w:bCs/>
          <w:color w:val="000000" w:themeColor="text1"/>
          <w:w w:val="102"/>
          <w:kern w:val="0"/>
          <w:position w:val="1"/>
          <w:sz w:val="28"/>
          <w:szCs w:val="28"/>
          <w:lang w:val="en-US" w:eastAsia="zh-CN"/>
          <w14:textFill>
            <w14:solidFill>
              <w14:schemeClr w14:val="tx1"/>
            </w14:solidFill>
          </w14:textFill>
        </w:rPr>
      </w:pPr>
    </w:p>
    <w:tbl>
      <w:tblPr>
        <w:tblStyle w:val="7"/>
        <w:tblW w:w="100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442"/>
        <w:gridCol w:w="759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D7D7D7" w:themeFill="background1" w:themeFillShade="D8"/>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color w:val="000000"/>
                <w:sz w:val="18"/>
                <w:szCs w:val="18"/>
              </w:rPr>
              <w:t>产品型号</w:t>
            </w:r>
          </w:p>
        </w:tc>
        <w:tc>
          <w:tcPr>
            <w:tcW w:w="7593" w:type="dxa"/>
            <w:tcBorders>
              <w:tl2br w:val="nil"/>
              <w:tr2bl w:val="nil"/>
            </w:tcBorders>
            <w:shd w:val="clear" w:color="auto" w:fill="D7D7D7" w:themeFill="background1" w:themeFillShade="D8"/>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val="en-US" w:eastAsia="zh-CN"/>
              </w:rPr>
            </w:pPr>
            <w:r>
              <w:rPr>
                <w:rFonts w:hint="eastAsia" w:ascii="微软雅黑" w:hAnsi="微软雅黑" w:eastAsia="微软雅黑" w:cs="微软雅黑"/>
                <w:b w:val="0"/>
                <w:bCs w:val="0"/>
                <w:sz w:val="18"/>
                <w:szCs w:val="18"/>
                <w:lang w:val="en-US" w:eastAsia="zh-CN"/>
              </w:rPr>
              <w:t>VGL-125IP65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FF0000"/>
            <w:noWrap w:val="0"/>
            <w:tcMar>
              <w:left w:w="108" w:type="dxa"/>
              <w:right w:w="108" w:type="dxa"/>
            </w:tcMar>
            <w:vAlign w:val="center"/>
          </w:tcPr>
          <w:p>
            <w:pPr>
              <w:pStyle w:val="6"/>
              <w:tabs>
                <w:tab w:val="left" w:pos="5806"/>
              </w:tabs>
              <w:spacing w:beforeAutospacing="0" w:afterAutospacing="0" w:line="240" w:lineRule="auto"/>
              <w:ind w:leftChars="100"/>
              <w:jc w:val="left"/>
              <w:rPr>
                <w:rFonts w:hint="eastAsia" w:ascii="微软雅黑" w:hAnsi="微软雅黑" w:eastAsia="微软雅黑" w:cs="微软雅黑"/>
                <w:b/>
                <w:bCs/>
                <w:color w:val="EEECE1" w:themeColor="background2"/>
                <w:sz w:val="18"/>
                <w:szCs w:val="18"/>
                <w:lang w:eastAsia="zh-CN"/>
                <w14:textFill>
                  <w14:solidFill>
                    <w14:schemeClr w14:val="bg2"/>
                  </w14:solidFill>
                </w14:textFill>
              </w:rPr>
            </w:pPr>
            <w:r>
              <w:rPr>
                <w:rStyle w:val="10"/>
                <w:rFonts w:hint="eastAsia" w:ascii="微软雅黑" w:hAnsi="微软雅黑" w:eastAsia="微软雅黑" w:cs="微软雅黑"/>
                <w:b/>
                <w:bCs/>
                <w:color w:val="EEECE1" w:themeColor="background2"/>
                <w:sz w:val="18"/>
                <w:szCs w:val="18"/>
                <w:lang w:eastAsia="zh-CN"/>
                <w14:textFill>
                  <w14:solidFill>
                    <w14:schemeClr w14:val="bg2"/>
                  </w14:solidFill>
                </w14:textFill>
              </w:rPr>
              <w:t>产</w:t>
            </w:r>
            <w:r>
              <w:rPr>
                <w:rStyle w:val="10"/>
                <w:rFonts w:hint="eastAsia" w:ascii="微软雅黑" w:hAnsi="微软雅黑" w:eastAsia="微软雅黑" w:cs="微软雅黑"/>
                <w:b/>
                <w:bCs/>
                <w:color w:val="EEECE1" w:themeColor="background2"/>
                <w:sz w:val="18"/>
                <w:szCs w:val="18"/>
                <w:lang w:val="en-US" w:eastAsia="zh-CN"/>
                <w14:textFill>
                  <w14:solidFill>
                    <w14:schemeClr w14:val="bg2"/>
                  </w14:solidFill>
                </w14:textFill>
              </w:rPr>
              <w:t xml:space="preserve">  </w:t>
            </w:r>
            <w:r>
              <w:rPr>
                <w:rStyle w:val="10"/>
                <w:rFonts w:hint="eastAsia" w:ascii="微软雅黑" w:hAnsi="微软雅黑" w:eastAsia="微软雅黑" w:cs="微软雅黑"/>
                <w:b/>
                <w:bCs/>
                <w:color w:val="EEECE1" w:themeColor="background2"/>
                <w:sz w:val="18"/>
                <w:szCs w:val="18"/>
                <w:lang w:eastAsia="zh-CN"/>
                <w14:textFill>
                  <w14:solidFill>
                    <w14:schemeClr w14:val="bg2"/>
                  </w14:solidFill>
                </w14:textFill>
              </w:rPr>
              <w:t>品</w:t>
            </w:r>
            <w:r>
              <w:rPr>
                <w:rStyle w:val="10"/>
                <w:rFonts w:hint="eastAsia" w:ascii="微软雅黑" w:hAnsi="微软雅黑" w:eastAsia="微软雅黑" w:cs="微软雅黑"/>
                <w:b/>
                <w:bCs/>
                <w:color w:val="EEECE1" w:themeColor="background2"/>
                <w:sz w:val="18"/>
                <w:szCs w:val="18"/>
                <w:lang w:val="en-US" w:eastAsia="zh-CN"/>
                <w14:textFill>
                  <w14:solidFill>
                    <w14:schemeClr w14:val="bg2"/>
                  </w14:solidFill>
                </w14:textFill>
              </w:rPr>
              <w:t xml:space="preserve">  </w:t>
            </w:r>
            <w:r>
              <w:rPr>
                <w:rStyle w:val="10"/>
                <w:rFonts w:hint="eastAsia" w:ascii="微软雅黑" w:hAnsi="微软雅黑" w:eastAsia="微软雅黑" w:cs="微软雅黑"/>
                <w:b/>
                <w:bCs/>
                <w:color w:val="EEECE1" w:themeColor="background2"/>
                <w:sz w:val="18"/>
                <w:szCs w:val="18"/>
                <w:lang w:eastAsia="zh-CN"/>
                <w14:textFill>
                  <w14:solidFill>
                    <w14:schemeClr w14:val="bg2"/>
                  </w14:solidFill>
                </w14:textFill>
              </w:rPr>
              <w:t>参</w:t>
            </w:r>
            <w:r>
              <w:rPr>
                <w:rStyle w:val="10"/>
                <w:rFonts w:hint="eastAsia" w:ascii="微软雅黑" w:hAnsi="微软雅黑" w:eastAsia="微软雅黑" w:cs="微软雅黑"/>
                <w:b/>
                <w:bCs/>
                <w:color w:val="EEECE1" w:themeColor="background2"/>
                <w:sz w:val="18"/>
                <w:szCs w:val="18"/>
                <w:lang w:val="en-US" w:eastAsia="zh-CN"/>
                <w14:textFill>
                  <w14:solidFill>
                    <w14:schemeClr w14:val="bg2"/>
                  </w14:solidFill>
                </w14:textFill>
              </w:rPr>
              <w:t xml:space="preserve">  </w:t>
            </w:r>
            <w:r>
              <w:rPr>
                <w:rStyle w:val="10"/>
                <w:rFonts w:hint="eastAsia" w:ascii="微软雅黑" w:hAnsi="微软雅黑" w:eastAsia="微软雅黑" w:cs="微软雅黑"/>
                <w:b/>
                <w:bCs/>
                <w:color w:val="EEECE1" w:themeColor="background2"/>
                <w:sz w:val="18"/>
                <w:szCs w:val="18"/>
                <w:lang w:eastAsia="zh-CN"/>
                <w14:textFill>
                  <w14:solidFill>
                    <w14:schemeClr w14:val="bg2"/>
                  </w14:solidFill>
                </w14:textFill>
              </w:rPr>
              <w:t>数</w:t>
            </w:r>
            <w:r>
              <w:rPr>
                <w:rStyle w:val="10"/>
                <w:rFonts w:hint="eastAsia" w:ascii="微软雅黑" w:hAnsi="微软雅黑" w:eastAsia="微软雅黑" w:cs="微软雅黑"/>
                <w:b/>
                <w:bCs/>
                <w:color w:val="EEECE1" w:themeColor="background2"/>
                <w:sz w:val="18"/>
                <w:szCs w:val="18"/>
                <w:lang w:eastAsia="zh-CN"/>
                <w14:textFill>
                  <w14:solidFill>
                    <w14:schemeClr w14:val="bg2"/>
                  </w14:solidFill>
                </w14:textFill>
              </w:rPr>
              <w:tab/>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工作频率</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125KHz</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调制方式</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OOK</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空中速率</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2Kbps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eastAsia="zh-CN"/>
              </w:rPr>
              <w:t>数据编码</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eastAsia="zh-CN"/>
              </w:rPr>
              <w:t>Manches</w:t>
            </w:r>
            <w:r>
              <w:rPr>
                <w:rFonts w:hint="eastAsia" w:ascii="微软雅黑" w:hAnsi="微软雅黑" w:eastAsia="微软雅黑" w:cs="微软雅黑"/>
                <w:b w:val="0"/>
                <w:bCs w:val="0"/>
                <w:spacing w:val="-4"/>
                <w:sz w:val="18"/>
                <w:szCs w:val="18"/>
                <w:lang w:eastAsia="zh-CN"/>
              </w:rPr>
              <w:t>t</w:t>
            </w:r>
            <w:r>
              <w:rPr>
                <w:rFonts w:hint="eastAsia" w:ascii="微软雅黑" w:hAnsi="微软雅黑" w:eastAsia="微软雅黑" w:cs="微软雅黑"/>
                <w:b w:val="0"/>
                <w:bCs w:val="0"/>
                <w:sz w:val="18"/>
                <w:szCs w:val="18"/>
                <w:lang w:eastAsia="zh-CN"/>
              </w:rPr>
              <w:t>er</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数字识别码长度</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2字节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rPr>
            </w:pPr>
            <w:r>
              <w:rPr>
                <w:rFonts w:hint="eastAsia" w:ascii="微软雅黑" w:hAnsi="微软雅黑" w:eastAsia="微软雅黑" w:cs="微软雅黑"/>
                <w:b w:val="0"/>
                <w:bCs w:val="0"/>
                <w:sz w:val="18"/>
                <w:szCs w:val="18"/>
                <w:lang w:val="en-US" w:eastAsia="zh-CN"/>
              </w:rPr>
              <w:t>数字校验方式</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CRC16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数字接口</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val="en-US" w:eastAsia="zh-CN"/>
              </w:rPr>
              <w:t>USB</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输入电压</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9V~24V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推荐电压</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color w:val="000000"/>
                <w:sz w:val="18"/>
                <w:szCs w:val="18"/>
              </w:rPr>
            </w:pPr>
            <w:r>
              <w:rPr>
                <w:rFonts w:hint="eastAsia" w:ascii="微软雅黑" w:hAnsi="微软雅黑" w:eastAsia="微软雅黑" w:cs="微软雅黑"/>
                <w:b w:val="0"/>
                <w:bCs w:val="0"/>
                <w:sz w:val="18"/>
                <w:szCs w:val="18"/>
                <w:lang w:eastAsia="zh-CN"/>
              </w:rPr>
              <w:t>12V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工作模式</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点激励模式和地感激励模式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工作电流</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&lt;</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lang w:eastAsia="zh-CN"/>
              </w:rPr>
              <w:t>00mA</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rPr>
              <w:t>外形尺寸</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52</w:t>
            </w:r>
            <w:r>
              <w:rPr>
                <w:rFonts w:hint="eastAsia" w:ascii="微软雅黑" w:hAnsi="微软雅黑" w:eastAsia="微软雅黑" w:cs="微软雅黑"/>
                <w:b w:val="0"/>
                <w:bCs w:val="0"/>
                <w:sz w:val="18"/>
                <w:szCs w:val="18"/>
              </w:rPr>
              <w:t>mm</w:t>
            </w:r>
            <w:r>
              <w:rPr>
                <w:rFonts w:hint="eastAsia" w:ascii="微软雅黑" w:hAnsi="微软雅黑" w:eastAsia="微软雅黑" w:cs="微软雅黑"/>
                <w:b w:val="0"/>
                <w:bCs w:val="0"/>
                <w:spacing w:val="-19"/>
                <w:sz w:val="18"/>
                <w:szCs w:val="18"/>
              </w:rPr>
              <w:t xml:space="preserve"> </w:t>
            </w:r>
            <w:r>
              <w:rPr>
                <w:rFonts w:hint="eastAsia" w:ascii="微软雅黑" w:hAnsi="微软雅黑" w:eastAsia="微软雅黑" w:cs="微软雅黑"/>
                <w:b w:val="0"/>
                <w:bCs w:val="0"/>
                <w:sz w:val="18"/>
                <w:szCs w:val="18"/>
              </w:rPr>
              <w:t>x</w:t>
            </w:r>
            <w:r>
              <w:rPr>
                <w:rFonts w:hint="eastAsia" w:ascii="微软雅黑" w:hAnsi="微软雅黑" w:eastAsia="微软雅黑" w:cs="微软雅黑"/>
                <w:b w:val="0"/>
                <w:bCs w:val="0"/>
                <w:sz w:val="18"/>
                <w:szCs w:val="18"/>
                <w:lang w:val="en-US" w:eastAsia="zh-CN"/>
              </w:rPr>
              <w:t>10</w:t>
            </w:r>
            <w:r>
              <w:rPr>
                <w:rFonts w:hint="eastAsia" w:ascii="微软雅黑" w:hAnsi="微软雅黑" w:eastAsia="微软雅黑" w:cs="微软雅黑"/>
                <w:b w:val="0"/>
                <w:bCs w:val="0"/>
                <w:sz w:val="18"/>
                <w:szCs w:val="18"/>
              </w:rPr>
              <w:t>70mm</w:t>
            </w:r>
            <w:r>
              <w:rPr>
                <w:rFonts w:hint="eastAsia" w:ascii="微软雅黑" w:hAnsi="微软雅黑" w:eastAsia="微软雅黑" w:cs="微软雅黑"/>
                <w:b w:val="0"/>
                <w:bCs w:val="0"/>
                <w:spacing w:val="-6"/>
                <w:sz w:val="18"/>
                <w:szCs w:val="18"/>
              </w:rPr>
              <w:t xml:space="preserve"> </w:t>
            </w:r>
            <w:r>
              <w:rPr>
                <w:rFonts w:hint="eastAsia" w:ascii="微软雅黑" w:hAnsi="微软雅黑" w:eastAsia="微软雅黑" w:cs="微软雅黑"/>
                <w:b w:val="0"/>
                <w:bCs w:val="0"/>
                <w:sz w:val="18"/>
                <w:szCs w:val="18"/>
              </w:rPr>
              <w:t>x</w:t>
            </w:r>
            <w:r>
              <w:rPr>
                <w:rFonts w:hint="eastAsia" w:ascii="微软雅黑" w:hAnsi="微软雅黑" w:eastAsia="微软雅黑" w:cs="微软雅黑"/>
                <w:b w:val="0"/>
                <w:bCs w:val="0"/>
                <w:sz w:val="18"/>
                <w:szCs w:val="18"/>
                <w:lang w:val="en-US" w:eastAsia="zh-CN"/>
              </w:rPr>
              <w:t>125</w:t>
            </w:r>
            <w:r>
              <w:rPr>
                <w:rFonts w:hint="eastAsia" w:ascii="微软雅黑" w:hAnsi="微软雅黑" w:eastAsia="微软雅黑" w:cs="微软雅黑"/>
                <w:b w:val="0"/>
                <w:bCs w:val="0"/>
                <w:sz w:val="18"/>
                <w:szCs w:val="18"/>
              </w:rPr>
              <w:t>mm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防护等级</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IP65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10035" w:type="dxa"/>
            <w:gridSpan w:val="2"/>
            <w:tcBorders>
              <w:tl2br w:val="nil"/>
              <w:tr2bl w:val="nil"/>
            </w:tcBorders>
            <w:shd w:val="clear" w:color="auto" w:fill="FF0000"/>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bCs/>
                <w:color w:val="EEECE1" w:themeColor="background2"/>
                <w:sz w:val="18"/>
                <w:szCs w:val="18"/>
                <w:lang w:eastAsia="zh-CN"/>
                <w14:textFill>
                  <w14:solidFill>
                    <w14:schemeClr w14:val="bg2"/>
                  </w14:solidFill>
                </w14:textFill>
              </w:rPr>
            </w:pPr>
            <w:r>
              <w:rPr>
                <w:rFonts w:hint="eastAsia" w:ascii="微软雅黑" w:hAnsi="微软雅黑" w:eastAsia="微软雅黑" w:cs="微软雅黑"/>
                <w:b/>
                <w:bCs/>
                <w:color w:val="EEECE1" w:themeColor="background2"/>
                <w:sz w:val="18"/>
                <w:szCs w:val="18"/>
                <w:lang w:eastAsia="zh-CN"/>
                <w14:textFill>
                  <w14:solidFill>
                    <w14:schemeClr w14:val="bg2"/>
                  </w14:solidFill>
                </w14:textFill>
              </w:rPr>
              <w:t>包装、附件及注意事项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包装</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白色纸盒包装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pacing w:val="1"/>
                <w:sz w:val="18"/>
                <w:szCs w:val="18"/>
                <w:lang w:eastAsia="zh-CN"/>
              </w:rPr>
              <w:t>产品</w:t>
            </w:r>
          </w:p>
        </w:tc>
        <w:tc>
          <w:tcPr>
            <w:tcW w:w="7593"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2.4G</w:t>
            </w:r>
            <w:r>
              <w:rPr>
                <w:rFonts w:hint="eastAsia" w:ascii="微软雅黑" w:hAnsi="微软雅黑" w:eastAsia="微软雅黑" w:cs="微软雅黑"/>
                <w:b w:val="0"/>
                <w:bCs w:val="0"/>
                <w:spacing w:val="56"/>
                <w:sz w:val="18"/>
                <w:szCs w:val="18"/>
                <w:lang w:eastAsia="zh-CN"/>
              </w:rPr>
              <w:t xml:space="preserve"> </w:t>
            </w:r>
            <w:r>
              <w:rPr>
                <w:rFonts w:hint="eastAsia" w:ascii="微软雅黑" w:hAnsi="微软雅黑" w:eastAsia="微软雅黑" w:cs="微软雅黑"/>
                <w:b w:val="0"/>
                <w:bCs w:val="0"/>
                <w:sz w:val="18"/>
                <w:szCs w:val="18"/>
                <w:lang w:eastAsia="zh-CN"/>
              </w:rPr>
              <w:t>阅读器</w:t>
            </w:r>
            <w:r>
              <w:rPr>
                <w:rFonts w:hint="eastAsia" w:ascii="微软雅黑" w:hAnsi="微软雅黑" w:eastAsia="微软雅黑" w:cs="微软雅黑"/>
                <w:b w:val="0"/>
                <w:bCs w:val="0"/>
                <w:sz w:val="18"/>
                <w:szCs w:val="18"/>
                <w:lang w:eastAsia="zh-CN"/>
              </w:rPr>
              <w:tab/>
            </w:r>
            <w:r>
              <w:rPr>
                <w:rFonts w:hint="eastAsia" w:ascii="微软雅黑" w:hAnsi="微软雅黑" w:eastAsia="微软雅黑" w:cs="微软雅黑"/>
                <w:b w:val="0"/>
                <w:bCs w:val="0"/>
                <w:sz w:val="18"/>
                <w:szCs w:val="18"/>
                <w:lang w:eastAsia="zh-CN"/>
              </w:rPr>
              <w:tab/>
            </w:r>
            <w:r>
              <w:rPr>
                <w:rFonts w:hint="eastAsia" w:ascii="微软雅黑" w:hAnsi="微软雅黑" w:eastAsia="微软雅黑" w:cs="微软雅黑"/>
                <w:b w:val="0"/>
                <w:bCs w:val="0"/>
                <w:sz w:val="18"/>
                <w:szCs w:val="18"/>
                <w:lang w:eastAsia="zh-CN"/>
              </w:rPr>
              <w:t>1</w:t>
            </w:r>
            <w:r>
              <w:rPr>
                <w:rFonts w:hint="eastAsia" w:ascii="微软雅黑" w:hAnsi="微软雅黑" w:eastAsia="微软雅黑" w:cs="微软雅黑"/>
                <w:b w:val="0"/>
                <w:bCs w:val="0"/>
                <w:spacing w:val="1"/>
                <w:sz w:val="18"/>
                <w:szCs w:val="18"/>
                <w:lang w:eastAsia="zh-CN"/>
              </w:rPr>
              <w:t xml:space="preserve"> </w:t>
            </w:r>
            <w:r>
              <w:rPr>
                <w:rFonts w:hint="eastAsia" w:ascii="微软雅黑" w:hAnsi="微软雅黑" w:eastAsia="微软雅黑" w:cs="微软雅黑"/>
                <w:b w:val="0"/>
                <w:bCs w:val="0"/>
                <w:sz w:val="18"/>
                <w:szCs w:val="18"/>
                <w:lang w:eastAsia="zh-CN"/>
              </w:rPr>
              <w:t>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442"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both"/>
              <w:rPr>
                <w:rFonts w:hint="eastAsia" w:ascii="微软雅黑" w:hAnsi="微软雅黑" w:eastAsia="微软雅黑" w:cs="微软雅黑"/>
                <w:b w:val="0"/>
                <w:bCs w:val="0"/>
                <w:spacing w:val="1"/>
                <w:sz w:val="18"/>
                <w:szCs w:val="18"/>
                <w:lang w:eastAsia="zh-CN"/>
              </w:rPr>
            </w:pPr>
            <w:r>
              <w:rPr>
                <w:rFonts w:hint="eastAsia" w:ascii="微软雅黑" w:hAnsi="微软雅黑" w:eastAsia="微软雅黑" w:cs="微软雅黑"/>
                <w:b w:val="0"/>
                <w:bCs w:val="0"/>
                <w:spacing w:val="1"/>
                <w:sz w:val="18"/>
                <w:szCs w:val="18"/>
                <w:lang w:eastAsia="zh-CN"/>
              </w:rPr>
              <w:t>附件</w:t>
            </w:r>
          </w:p>
        </w:tc>
        <w:tc>
          <w:tcPr>
            <w:tcW w:w="7593" w:type="dxa"/>
            <w:tcBorders>
              <w:tl2br w:val="nil"/>
              <w:tr2bl w:val="nil"/>
            </w:tcBorders>
            <w:shd w:val="clear" w:color="auto" w:fill="auto"/>
            <w:noWrap w:val="0"/>
            <w:tcMar>
              <w:left w:w="108" w:type="dxa"/>
              <w:right w:w="108" w:type="dxa"/>
            </w:tcMar>
            <w:vAlign w:val="center"/>
          </w:tcPr>
          <w:p>
            <w:pPr>
              <w:tabs>
                <w:tab w:val="left" w:pos="4960"/>
                <w:tab w:val="left" w:pos="5020"/>
              </w:tabs>
              <w:spacing w:after="0" w:line="344" w:lineRule="auto"/>
              <w:ind w:right="2998" w:firstLine="180" w:firstLineChars="100"/>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eastAsia="zh-CN"/>
              </w:rPr>
              <w:t>DC12V(</w:t>
            </w:r>
            <w:r>
              <w:rPr>
                <w:rFonts w:hint="eastAsia" w:ascii="微软雅黑" w:hAnsi="微软雅黑" w:eastAsia="微软雅黑" w:cs="微软雅黑"/>
                <w:b w:val="0"/>
                <w:bCs w:val="0"/>
                <w:sz w:val="18"/>
                <w:szCs w:val="18"/>
                <w:lang w:val="en-US" w:eastAsia="zh-CN"/>
              </w:rPr>
              <w:t>2</w:t>
            </w:r>
            <w:r>
              <w:rPr>
                <w:rFonts w:hint="eastAsia" w:ascii="微软雅黑" w:hAnsi="微软雅黑" w:eastAsia="微软雅黑" w:cs="微软雅黑"/>
                <w:b w:val="0"/>
                <w:bCs w:val="0"/>
                <w:sz w:val="18"/>
                <w:szCs w:val="18"/>
                <w:lang w:eastAsia="zh-CN"/>
              </w:rPr>
              <w:t>A</w:t>
            </w:r>
            <w:r>
              <w:rPr>
                <w:rFonts w:hint="eastAsia" w:ascii="微软雅黑" w:hAnsi="微软雅黑" w:eastAsia="微软雅黑" w:cs="微软雅黑"/>
                <w:b w:val="0"/>
                <w:bCs w:val="0"/>
                <w:spacing w:val="1"/>
                <w:sz w:val="18"/>
                <w:szCs w:val="18"/>
                <w:lang w:eastAsia="zh-CN"/>
              </w:rPr>
              <w:t>)</w:t>
            </w:r>
            <w:r>
              <w:rPr>
                <w:rFonts w:hint="eastAsia" w:ascii="微软雅黑" w:hAnsi="微软雅黑" w:eastAsia="微软雅黑" w:cs="微软雅黑"/>
                <w:b w:val="0"/>
                <w:bCs w:val="0"/>
                <w:sz w:val="18"/>
                <w:szCs w:val="18"/>
                <w:lang w:eastAsia="zh-CN"/>
              </w:rPr>
              <w:t>电源</w:t>
            </w:r>
            <w:r>
              <w:rPr>
                <w:rFonts w:hint="eastAsia" w:ascii="微软雅黑" w:hAnsi="微软雅黑" w:eastAsia="微软雅黑" w:cs="微软雅黑"/>
                <w:b w:val="0"/>
                <w:bCs w:val="0"/>
                <w:sz w:val="18"/>
                <w:szCs w:val="18"/>
                <w:lang w:val="en-US" w:eastAsia="zh-CN"/>
              </w:rPr>
              <w:t xml:space="preserve">       </w:t>
            </w:r>
            <w:r>
              <w:rPr>
                <w:rFonts w:hint="eastAsia" w:ascii="微软雅黑" w:hAnsi="微软雅黑" w:eastAsia="微软雅黑" w:cs="微软雅黑"/>
                <w:b w:val="0"/>
                <w:bCs w:val="0"/>
                <w:sz w:val="18"/>
                <w:szCs w:val="18"/>
                <w:lang w:eastAsia="zh-CN"/>
              </w:rPr>
              <w:t>1</w:t>
            </w:r>
            <w:r>
              <w:rPr>
                <w:rFonts w:hint="eastAsia" w:ascii="微软雅黑" w:hAnsi="微软雅黑" w:eastAsia="微软雅黑" w:cs="微软雅黑"/>
                <w:b w:val="0"/>
                <w:bCs w:val="0"/>
                <w:spacing w:val="-1"/>
                <w:sz w:val="18"/>
                <w:szCs w:val="18"/>
                <w:lang w:eastAsia="zh-CN"/>
              </w:rPr>
              <w:t xml:space="preserve"> </w:t>
            </w:r>
            <w:r>
              <w:rPr>
                <w:rFonts w:hint="eastAsia" w:ascii="微软雅黑" w:hAnsi="微软雅黑" w:eastAsia="微软雅黑" w:cs="微软雅黑"/>
                <w:b w:val="0"/>
                <w:bCs w:val="0"/>
                <w:sz w:val="18"/>
                <w:szCs w:val="18"/>
                <w:lang w:eastAsia="zh-CN"/>
              </w:rPr>
              <w:t>个</w:t>
            </w:r>
          </w:p>
          <w:p>
            <w:pPr>
              <w:tabs>
                <w:tab w:val="left" w:pos="4960"/>
                <w:tab w:val="left" w:pos="5020"/>
              </w:tabs>
              <w:spacing w:after="0" w:line="344" w:lineRule="auto"/>
              <w:ind w:right="2998" w:firstLine="180" w:firstLineChars="100"/>
              <w:rPr>
                <w:rFonts w:hint="eastAsia" w:ascii="微软雅黑" w:hAnsi="微软雅黑" w:eastAsia="微软雅黑" w:cs="微软雅黑"/>
                <w:b w:val="0"/>
                <w:bCs w:val="0"/>
                <w:sz w:val="18"/>
                <w:szCs w:val="18"/>
                <w:lang w:eastAsia="zh-CN"/>
              </w:rPr>
            </w:pPr>
            <w:r>
              <w:rPr>
                <w:rFonts w:hint="eastAsia" w:ascii="微软雅黑" w:hAnsi="微软雅黑" w:eastAsia="微软雅黑" w:cs="微软雅黑"/>
                <w:b w:val="0"/>
                <w:bCs w:val="0"/>
                <w:sz w:val="18"/>
                <w:szCs w:val="18"/>
                <w:lang w:val="en-US" w:eastAsia="zh-CN"/>
              </w:rPr>
              <w:t>USB数据线               1根</w:t>
            </w:r>
          </w:p>
        </w:tc>
      </w:tr>
    </w:tbl>
    <w:p>
      <w:pPr>
        <w:pStyle w:val="3"/>
        <w:rPr>
          <w:sz w:val="17"/>
        </w:rPr>
      </w:pP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14E6A3"/>
    <w:multiLevelType w:val="singleLevel"/>
    <w:tmpl w:val="C414E6A3"/>
    <w:lvl w:ilvl="0" w:tentative="0">
      <w:start w:val="1"/>
      <w:numFmt w:val="bullet"/>
      <w:lvlText w:val=""/>
      <w:lvlJc w:val="left"/>
      <w:pPr>
        <w:ind w:left="420" w:hanging="420"/>
      </w:pPr>
      <w:rPr>
        <w:rFonts w:hint="default" w:ascii="Wingdings" w:hAnsi="Wingdings"/>
      </w:rPr>
    </w:lvl>
  </w:abstractNum>
  <w:abstractNum w:abstractNumId="1">
    <w:nsid w:val="1FAE0CD3"/>
    <w:multiLevelType w:val="singleLevel"/>
    <w:tmpl w:val="1FAE0CD3"/>
    <w:lvl w:ilvl="0" w:tentative="0">
      <w:start w:val="1"/>
      <w:numFmt w:val="decimal"/>
      <w:lvlText w:val="(%1)"/>
      <w:lvlJc w:val="left"/>
      <w:pPr>
        <w:tabs>
          <w:tab w:val="left" w:pos="420"/>
        </w:tabs>
        <w:ind w:left="84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F65185"/>
    <w:rsid w:val="02002BA4"/>
    <w:rsid w:val="038A3F8D"/>
    <w:rsid w:val="04A3348A"/>
    <w:rsid w:val="09550008"/>
    <w:rsid w:val="0A204B53"/>
    <w:rsid w:val="0BB126C2"/>
    <w:rsid w:val="0CB11242"/>
    <w:rsid w:val="150250A7"/>
    <w:rsid w:val="1B8263D5"/>
    <w:rsid w:val="1CAA3D35"/>
    <w:rsid w:val="26216889"/>
    <w:rsid w:val="29AE3FC0"/>
    <w:rsid w:val="2C9100C1"/>
    <w:rsid w:val="388F54BC"/>
    <w:rsid w:val="3A082E01"/>
    <w:rsid w:val="3A7640DD"/>
    <w:rsid w:val="3A7F3E84"/>
    <w:rsid w:val="3AA537F2"/>
    <w:rsid w:val="3D5F52D6"/>
    <w:rsid w:val="3E595F9F"/>
    <w:rsid w:val="3FC56EA0"/>
    <w:rsid w:val="402E5673"/>
    <w:rsid w:val="41582A6C"/>
    <w:rsid w:val="44D57911"/>
    <w:rsid w:val="45CC3B56"/>
    <w:rsid w:val="4DB50956"/>
    <w:rsid w:val="4DBF465B"/>
    <w:rsid w:val="516B48D0"/>
    <w:rsid w:val="51C8791F"/>
    <w:rsid w:val="523261B7"/>
    <w:rsid w:val="525B5F30"/>
    <w:rsid w:val="552E410F"/>
    <w:rsid w:val="59AA0A40"/>
    <w:rsid w:val="59B2381B"/>
    <w:rsid w:val="646A5420"/>
    <w:rsid w:val="652619AF"/>
    <w:rsid w:val="677B2C87"/>
    <w:rsid w:val="69065B6C"/>
    <w:rsid w:val="6A2754DA"/>
    <w:rsid w:val="6B7831EE"/>
    <w:rsid w:val="6C3E7495"/>
    <w:rsid w:val="6D4C7602"/>
    <w:rsid w:val="734811CF"/>
    <w:rsid w:val="74EC52F6"/>
    <w:rsid w:val="77B82897"/>
    <w:rsid w:val="7CE96C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2020-10-13T02:58:37Z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