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7"/>
        <w:gridCol w:w="5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907" w:type="dxa"/>
          </w:tcPr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UHF蓝牙通讯手持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读写器VH-75/75T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989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inline distT="0" distB="0" distL="114300" distR="114300">
                  <wp:extent cx="1741170" cy="1494155"/>
                  <wp:effectExtent l="0" t="0" r="11430" b="1079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705610" cy="1461135"/>
                  <wp:effectExtent l="0" t="0" r="889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tabs>
                <w:tab w:val="left" w:pos="1229"/>
                <w:tab w:val="left" w:pos="4142"/>
              </w:tabs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ab/>
            </w:r>
            <w:r>
              <w:rPr>
                <w:rFonts w:hint="eastAsia" w:eastAsia="宋体"/>
                <w:lang w:val="en-US" w:eastAsia="zh-CN"/>
              </w:rPr>
              <w:t>VH-75</w:t>
            </w:r>
            <w:r>
              <w:rPr>
                <w:rFonts w:hint="eastAsia" w:eastAsia="宋体"/>
                <w:lang w:val="en-US" w:eastAsia="zh-CN"/>
              </w:rPr>
              <w:tab/>
            </w:r>
            <w:r>
              <w:rPr>
                <w:rFonts w:hint="eastAsia" w:eastAsia="宋体"/>
                <w:lang w:val="en-US" w:eastAsia="zh-CN"/>
              </w:rPr>
              <w:t>VH-75T</w:t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简单介绍</w:t>
      </w:r>
    </w:p>
    <w:p>
      <w:pPr>
        <w:numPr>
          <w:ilvl w:val="0"/>
          <w:numId w:val="1"/>
        </w:numPr>
        <w:ind w:left="840"/>
        <w:rPr>
          <w:rFonts w:hint="eastAsia" w:ascii="宋体" w:hAnsi="宋体"/>
          <w:spacing w:val="20"/>
          <w:sz w:val="21"/>
          <w:szCs w:val="21"/>
        </w:rPr>
      </w:pPr>
      <w:r>
        <w:rPr>
          <w:rFonts w:hint="eastAsia" w:ascii="宋体" w:hAnsi="宋体"/>
          <w:spacing w:val="20"/>
          <w:sz w:val="21"/>
          <w:szCs w:val="21"/>
        </w:rPr>
        <w:t>基于自主知识产权开发，</w:t>
      </w:r>
      <w:r>
        <w:rPr>
          <w:rFonts w:hint="eastAsia" w:ascii="宋体" w:hAnsi="宋体"/>
          <w:spacing w:val="20"/>
          <w:sz w:val="21"/>
          <w:szCs w:val="21"/>
          <w:lang w:eastAsia="zh-CN"/>
        </w:rPr>
        <w:t>外观设计专利，超高频蓝牙通讯手持机；</w:t>
      </w:r>
    </w:p>
    <w:p>
      <w:pPr>
        <w:numPr>
          <w:ilvl w:val="0"/>
          <w:numId w:val="1"/>
        </w:numPr>
        <w:ind w:left="840"/>
        <w:rPr>
          <w:rFonts w:hint="eastAsia" w:ascii="宋体" w:hAnsi="宋体"/>
          <w:spacing w:val="20"/>
          <w:sz w:val="21"/>
          <w:szCs w:val="21"/>
        </w:rPr>
      </w:pPr>
      <w:r>
        <w:rPr>
          <w:rFonts w:hint="eastAsia" w:ascii="宋体" w:hAnsi="宋体"/>
          <w:spacing w:val="20"/>
          <w:sz w:val="21"/>
          <w:szCs w:val="21"/>
          <w:lang w:eastAsia="zh-CN"/>
        </w:rPr>
        <w:t>卓越的</w:t>
      </w:r>
      <w:r>
        <w:rPr>
          <w:rFonts w:hint="eastAsia" w:ascii="宋体" w:hAnsi="宋体"/>
          <w:spacing w:val="20"/>
          <w:sz w:val="21"/>
          <w:szCs w:val="21"/>
          <w:lang w:val="en-US" w:eastAsia="zh-CN"/>
        </w:rPr>
        <w:t>UHF超高频读写性能，</w:t>
      </w:r>
      <w:r>
        <w:rPr>
          <w:rFonts w:hint="eastAsia" w:ascii="宋体" w:hAnsi="宋体"/>
          <w:spacing w:val="20"/>
          <w:sz w:val="21"/>
          <w:szCs w:val="21"/>
        </w:rPr>
        <w:t>适应全球频段工作设定；</w:t>
      </w:r>
    </w:p>
    <w:p>
      <w:pPr>
        <w:numPr>
          <w:ilvl w:val="0"/>
          <w:numId w:val="1"/>
        </w:numPr>
        <w:ind w:left="840"/>
        <w:rPr>
          <w:rFonts w:hint="eastAsia" w:ascii="宋体" w:hAnsi="宋体"/>
          <w:spacing w:val="20"/>
          <w:sz w:val="21"/>
          <w:szCs w:val="21"/>
        </w:rPr>
      </w:pPr>
      <w:r>
        <w:rPr>
          <w:rFonts w:hint="eastAsia" w:ascii="Verdana" w:hAnsi="Verdana"/>
          <w:sz w:val="21"/>
          <w:szCs w:val="21"/>
        </w:rPr>
        <w:t>工作状态多指示，</w:t>
      </w:r>
      <w:r>
        <w:rPr>
          <w:rFonts w:hint="eastAsia" w:ascii="Verdana" w:hAnsi="Verdana"/>
          <w:sz w:val="21"/>
          <w:szCs w:val="21"/>
          <w:lang w:eastAsia="zh-CN"/>
        </w:rPr>
        <w:t>多色</w:t>
      </w:r>
      <w:r>
        <w:rPr>
          <w:rFonts w:hint="eastAsia" w:ascii="Verdana" w:hAnsi="Verdana"/>
          <w:sz w:val="21"/>
          <w:szCs w:val="21"/>
        </w:rPr>
        <w:t>LED指示灯、蜂鸣器、震动马达以满足各种工作环境下指示；</w:t>
      </w:r>
    </w:p>
    <w:p>
      <w:pPr>
        <w:numPr>
          <w:ilvl w:val="0"/>
          <w:numId w:val="1"/>
        </w:numPr>
        <w:ind w:left="840"/>
        <w:rPr>
          <w:rFonts w:hint="eastAsia" w:ascii="宋体" w:hAnsi="宋体"/>
          <w:spacing w:val="20"/>
          <w:sz w:val="21"/>
          <w:szCs w:val="21"/>
        </w:rPr>
      </w:pPr>
      <w:r>
        <w:rPr>
          <w:rFonts w:hint="eastAsia" w:ascii="Verdana" w:hAnsi="Verdana"/>
          <w:sz w:val="21"/>
          <w:szCs w:val="21"/>
          <w:lang w:eastAsia="zh-CN"/>
        </w:rPr>
        <w:t>灵活的无线</w:t>
      </w:r>
      <w:r>
        <w:rPr>
          <w:rFonts w:hint="eastAsia" w:ascii="Verdana" w:hAnsi="Verdana"/>
          <w:sz w:val="21"/>
          <w:szCs w:val="21"/>
        </w:rPr>
        <w:t>蓝牙通讯</w:t>
      </w:r>
      <w:r>
        <w:rPr>
          <w:rFonts w:hint="eastAsia" w:ascii="Verdana" w:hAnsi="Verdana"/>
          <w:sz w:val="21"/>
          <w:szCs w:val="21"/>
          <w:lang w:eastAsia="zh-CN"/>
        </w:rPr>
        <w:t>，</w:t>
      </w:r>
      <w:r>
        <w:rPr>
          <w:rFonts w:hint="eastAsia" w:ascii="Verdana" w:hAnsi="Verdana"/>
          <w:sz w:val="21"/>
          <w:szCs w:val="21"/>
        </w:rPr>
        <w:t>手持读写器能方便与智能终端（智能手机、平板电脑等）联机使用；</w:t>
      </w:r>
    </w:p>
    <w:p>
      <w:pPr>
        <w:numPr>
          <w:ilvl w:val="0"/>
          <w:numId w:val="1"/>
        </w:numPr>
        <w:ind w:left="840"/>
        <w:rPr>
          <w:rFonts w:hint="eastAsia" w:ascii="宋体" w:hAnsi="宋体"/>
          <w:spacing w:val="20"/>
          <w:sz w:val="21"/>
          <w:szCs w:val="21"/>
        </w:rPr>
      </w:pPr>
      <w:r>
        <w:rPr>
          <w:rFonts w:hint="eastAsia" w:ascii="宋体" w:hAnsi="宋体"/>
          <w:spacing w:val="20"/>
          <w:sz w:val="21"/>
          <w:szCs w:val="21"/>
        </w:rPr>
        <w:t>软件集成快速高效，提供基于</w:t>
      </w:r>
      <w:r>
        <w:rPr>
          <w:color w:val="333333"/>
          <w:sz w:val="21"/>
          <w:szCs w:val="21"/>
        </w:rPr>
        <w:t>Android安卓</w:t>
      </w:r>
      <w:r>
        <w:rPr>
          <w:rFonts w:hint="eastAsia" w:ascii="宋体" w:hAnsi="宋体"/>
          <w:spacing w:val="20"/>
          <w:sz w:val="21"/>
          <w:szCs w:val="21"/>
          <w:lang w:eastAsia="zh-CN"/>
        </w:rPr>
        <w:t>、苹果</w:t>
      </w:r>
      <w:r>
        <w:rPr>
          <w:rFonts w:hint="eastAsia" w:ascii="宋体" w:hAnsi="宋体"/>
          <w:spacing w:val="20"/>
          <w:sz w:val="21"/>
          <w:szCs w:val="21"/>
          <w:lang w:val="en-US" w:eastAsia="zh-CN"/>
        </w:rPr>
        <w:t>iOS系统平台</w:t>
      </w:r>
      <w:r>
        <w:rPr>
          <w:rFonts w:hint="eastAsia" w:ascii="宋体" w:hAnsi="宋体"/>
          <w:spacing w:val="20"/>
          <w:sz w:val="21"/>
          <w:szCs w:val="21"/>
        </w:rPr>
        <w:t>下的</w:t>
      </w:r>
      <w:r>
        <w:rPr>
          <w:rFonts w:hint="eastAsia" w:ascii="宋体" w:hAnsi="宋体"/>
          <w:spacing w:val="20"/>
          <w:sz w:val="21"/>
          <w:szCs w:val="21"/>
          <w:lang w:val="en-US" w:eastAsia="zh-CN"/>
        </w:rPr>
        <w:t>SDK</w:t>
      </w:r>
      <w:r>
        <w:rPr>
          <w:rFonts w:hint="eastAsia" w:ascii="宋体" w:hAnsi="宋体"/>
          <w:spacing w:val="20"/>
          <w:sz w:val="21"/>
          <w:szCs w:val="21"/>
        </w:rPr>
        <w:t>开发文件；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numPr>
          <w:ilvl w:val="0"/>
          <w:numId w:val="2"/>
        </w:numPr>
        <w:ind w:left="840" w:leftChars="0" w:hanging="420" w:firstLineChars="0"/>
        <w:rPr>
          <w:rFonts w:hint="eastAsia" w:ascii="宋体" w:hAnsi="宋体" w:eastAsia="宋体" w:cs="Arial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UHF超高频读取距离2</w:t>
      </w:r>
      <w:r>
        <w:rPr>
          <w:rFonts w:hint="eastAsia" w:ascii="宋体" w:hAnsi="宋体"/>
          <w:sz w:val="21"/>
          <w:szCs w:val="21"/>
        </w:rPr>
        <w:t>～</w:t>
      </w:r>
      <w:r>
        <w:rPr>
          <w:rFonts w:hint="eastAsia" w:ascii="宋体" w:hAnsi="宋体"/>
          <w:sz w:val="21"/>
          <w:szCs w:val="21"/>
          <w:lang w:val="en-US" w:eastAsia="zh-CN"/>
        </w:rPr>
        <w:t>2.5米，</w:t>
      </w:r>
      <w:r>
        <w:rPr>
          <w:rFonts w:hint="eastAsia" w:ascii="宋体" w:hAnsi="宋体"/>
          <w:sz w:val="21"/>
          <w:szCs w:val="21"/>
          <w:lang w:eastAsia="zh-CN"/>
        </w:rPr>
        <w:t>（测试标签：Impinj E41b）；</w:t>
      </w:r>
    </w:p>
    <w:p>
      <w:pPr>
        <w:numPr>
          <w:ilvl w:val="0"/>
          <w:numId w:val="2"/>
        </w:numPr>
        <w:ind w:left="840" w:leftChars="0" w:hanging="420" w:firstLineChars="0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蓝牙通讯与现有PDA、智能手机、平板电脑等联机使用降低重复购买的成本</w:t>
      </w:r>
      <w:r>
        <w:rPr>
          <w:rFonts w:hint="eastAsia" w:ascii="宋体" w:hAnsi="宋体"/>
          <w:sz w:val="21"/>
          <w:szCs w:val="21"/>
          <w:lang w:eastAsia="zh-CN"/>
        </w:rPr>
        <w:t>；</w:t>
      </w:r>
    </w:p>
    <w:p>
      <w:pPr>
        <w:numPr>
          <w:ilvl w:val="0"/>
          <w:numId w:val="2"/>
        </w:numPr>
        <w:ind w:left="840" w:leftChars="0" w:hanging="420" w:firstLineChars="0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支持</w:t>
      </w:r>
      <w:r>
        <w:rPr>
          <w:rFonts w:ascii="宋体" w:hAnsi="宋体"/>
          <w:sz w:val="21"/>
          <w:szCs w:val="21"/>
        </w:rPr>
        <w:t>ISO-18000-6B、ISO-18000-6C（EPC G2）</w:t>
      </w:r>
      <w:r>
        <w:rPr>
          <w:rFonts w:hint="eastAsia" w:ascii="宋体" w:hAnsi="宋体"/>
          <w:sz w:val="21"/>
          <w:szCs w:val="21"/>
        </w:rPr>
        <w:t>协议电子标签读写</w:t>
      </w:r>
      <w:r>
        <w:rPr>
          <w:rFonts w:hint="eastAsia" w:ascii="宋体" w:hAnsi="宋体"/>
          <w:sz w:val="21"/>
          <w:szCs w:val="21"/>
          <w:lang w:eastAsia="zh-CN"/>
        </w:rPr>
        <w:t>；</w:t>
      </w:r>
    </w:p>
    <w:p>
      <w:pPr>
        <w:widowControl/>
        <w:numPr>
          <w:ilvl w:val="0"/>
          <w:numId w:val="2"/>
        </w:numPr>
        <w:spacing w:line="270" w:lineRule="atLeast"/>
        <w:ind w:left="840" w:leftChars="0" w:hanging="420" w:firstLineChars="0"/>
        <w:jc w:val="left"/>
        <w:rPr>
          <w:rFonts w:ascii="宋体" w:hAnsi="宋体" w:cs="Arial"/>
          <w:kern w:val="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轻松确认读取标签的同时可以在PDA画面上轻松确认查看</w:t>
      </w:r>
      <w:r>
        <w:rPr>
          <w:rFonts w:ascii="宋体" w:hAnsi="宋体"/>
          <w:sz w:val="21"/>
          <w:szCs w:val="21"/>
        </w:rPr>
        <w:t>；</w:t>
      </w:r>
    </w:p>
    <w:p>
      <w:pPr>
        <w:widowControl/>
        <w:numPr>
          <w:ilvl w:val="0"/>
          <w:numId w:val="2"/>
        </w:numPr>
        <w:spacing w:line="270" w:lineRule="atLeast"/>
        <w:ind w:left="840" w:leftChars="0" w:hanging="420" w:firstLineChars="0"/>
        <w:jc w:val="left"/>
        <w:rPr>
          <w:rFonts w:ascii="宋体" w:hAnsi="宋体" w:cs="Arial"/>
          <w:kern w:val="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低费用，比带有PDA一体型手持阅读器更能节约成本</w:t>
      </w:r>
      <w:r>
        <w:rPr>
          <w:rFonts w:ascii="宋体" w:hAnsi="宋体" w:cs="Arial"/>
          <w:kern w:val="0"/>
          <w:sz w:val="21"/>
          <w:szCs w:val="21"/>
        </w:rPr>
        <w:t>；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  <w:lang w:eastAsia="zh-CN"/>
        </w:rPr>
        <w:t>应用领域</w:t>
      </w:r>
    </w:p>
    <w:p>
      <w:pPr>
        <w:widowControl/>
        <w:numPr>
          <w:ilvl w:val="1"/>
          <w:numId w:val="2"/>
        </w:numPr>
        <w:spacing w:line="270" w:lineRule="atLeast"/>
        <w:ind w:left="840" w:leftChars="0" w:hanging="420" w:firstLineChars="0"/>
        <w:jc w:val="left"/>
        <w:rPr>
          <w:rFonts w:ascii="宋体" w:hAnsi="宋体" w:cs="Arial"/>
          <w:kern w:val="0"/>
          <w:sz w:val="21"/>
          <w:szCs w:val="21"/>
        </w:rPr>
      </w:pPr>
      <w:r>
        <w:rPr>
          <w:rFonts w:hint="eastAsia" w:ascii="宋体" w:hAnsi="宋体" w:cs="Arial"/>
          <w:kern w:val="0"/>
          <w:sz w:val="21"/>
          <w:szCs w:val="21"/>
          <w:lang w:eastAsia="zh-CN"/>
        </w:rPr>
        <w:t>服装鞋帽零售商品盘点</w:t>
      </w:r>
    </w:p>
    <w:p>
      <w:pPr>
        <w:widowControl/>
        <w:numPr>
          <w:ilvl w:val="1"/>
          <w:numId w:val="2"/>
        </w:numPr>
        <w:spacing w:line="270" w:lineRule="atLeast"/>
        <w:ind w:left="840" w:leftChars="0" w:hanging="420" w:firstLineChars="0"/>
        <w:jc w:val="left"/>
        <w:rPr>
          <w:rFonts w:ascii="宋体" w:hAnsi="宋体" w:cs="Arial"/>
          <w:kern w:val="0"/>
          <w:sz w:val="21"/>
          <w:szCs w:val="21"/>
        </w:rPr>
      </w:pPr>
      <w:r>
        <w:rPr>
          <w:rFonts w:hint="eastAsia" w:ascii="宋体" w:hAnsi="宋体" w:cs="Arial"/>
          <w:kern w:val="0"/>
          <w:sz w:val="21"/>
          <w:szCs w:val="21"/>
          <w:lang w:eastAsia="zh-CN"/>
        </w:rPr>
        <w:t>珠宝首饰门店商品盘点</w:t>
      </w:r>
    </w:p>
    <w:p>
      <w:pPr>
        <w:widowControl/>
        <w:numPr>
          <w:ilvl w:val="1"/>
          <w:numId w:val="2"/>
        </w:numPr>
        <w:spacing w:line="270" w:lineRule="atLeast"/>
        <w:ind w:left="840" w:leftChars="0" w:hanging="420" w:firstLineChars="0"/>
        <w:jc w:val="left"/>
        <w:rPr>
          <w:rFonts w:ascii="宋体" w:hAnsi="宋体" w:cs="Arial"/>
          <w:kern w:val="0"/>
          <w:sz w:val="21"/>
          <w:szCs w:val="21"/>
        </w:rPr>
      </w:pPr>
      <w:r>
        <w:rPr>
          <w:rFonts w:hint="eastAsia" w:ascii="宋体" w:hAnsi="宋体" w:cs="Arial"/>
          <w:kern w:val="0"/>
          <w:sz w:val="21"/>
          <w:szCs w:val="21"/>
          <w:lang w:eastAsia="zh-CN"/>
        </w:rPr>
        <w:t>仓库货物出入库资产盘点</w:t>
      </w:r>
    </w:p>
    <w:p>
      <w:pPr>
        <w:widowControl/>
        <w:numPr>
          <w:ilvl w:val="1"/>
          <w:numId w:val="2"/>
        </w:numPr>
        <w:spacing w:line="270" w:lineRule="atLeast"/>
        <w:ind w:left="840" w:leftChars="0" w:hanging="420" w:firstLine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宋体" w:hAnsi="宋体" w:cs="Arial"/>
          <w:kern w:val="0"/>
          <w:sz w:val="21"/>
          <w:szCs w:val="21"/>
          <w:lang w:eastAsia="zh-CN"/>
        </w:rPr>
        <w:t>食品安全溯源追踪查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 w:eastAsia="宋体"/>
          <w:b/>
          <w:color w:val="FFFFFF"/>
          <w:sz w:val="24"/>
          <w:shd w:val="clear" w:color="auto" w:fill="000000"/>
          <w:lang w:eastAsia="zh-CN"/>
        </w:rPr>
        <w:t>产品</w:t>
      </w: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参数</w:t>
      </w:r>
    </w:p>
    <w:tbl>
      <w:tblPr>
        <w:tblStyle w:val="9"/>
        <w:tblpPr w:leftFromText="180" w:rightFromText="180" w:vertAnchor="text" w:horzAnchor="page" w:tblpX="1088" w:tblpY="321"/>
        <w:tblOverlap w:val="never"/>
        <w:tblW w:w="10060" w:type="dxa"/>
        <w:tblInd w:w="0" w:type="dxa"/>
        <w:tblBorders>
          <w:top w:val="single" w:color="262626" w:sz="6" w:space="0"/>
          <w:left w:val="single" w:color="262626" w:sz="6" w:space="0"/>
          <w:bottom w:val="single" w:color="262626" w:sz="6" w:space="0"/>
          <w:right w:val="single" w:color="262626" w:sz="6" w:space="0"/>
          <w:insideH w:val="single" w:color="262626" w:sz="6" w:space="0"/>
          <w:insideV w:val="single" w:color="262626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6984"/>
      </w:tblGrid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FFFFFF"/>
                <w:sz w:val="18"/>
                <w:szCs w:val="18"/>
                <w:lang w:eastAsia="zh-CN"/>
              </w:rPr>
              <w:t>规</w:t>
            </w:r>
            <w:r>
              <w:rPr>
                <w:rFonts w:hint="eastAsia" w:ascii="宋体" w:hAnsi="宋体"/>
                <w:b/>
                <w:color w:val="FFFFFF"/>
                <w:sz w:val="18"/>
                <w:szCs w:val="18"/>
              </w:rPr>
              <w:t>格描述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产品名称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UHF蓝牙手持阅读器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VH-75/75T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>UHF RFID参数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RF射频模块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基于VANCH VM-5GA专用射频模块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频率范围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902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928MHz或865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868MHz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（随国家或地区不同可以调整）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内置天线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2dbi圆极化陶瓷天线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空中接口协议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EPCglobal UHF Class 1 Gen 2 / ISO 18000-6C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输出功率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>26 dBm</w:t>
            </w:r>
            <w:r>
              <w:rPr>
                <w:rFonts w:hint="eastAsia" w:ascii="宋体" w:hAnsi="宋体"/>
                <w:sz w:val="18"/>
                <w:szCs w:val="18"/>
              </w:rPr>
              <w:t>可调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±1dBm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输出功率调节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1dBm步进(通过VANCH 软件进行设置）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读取距离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(VH-75)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读取距离2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2.5米，</w:t>
            </w:r>
            <w:r>
              <w:rPr>
                <w:rFonts w:hint="eastAsia" w:ascii="宋体" w:hAnsi="宋体"/>
                <w:sz w:val="18"/>
                <w:szCs w:val="18"/>
              </w:rPr>
              <w:t>写入距离</w:t>
            </w:r>
            <w:r>
              <w:rPr>
                <w:rFonts w:ascii="宋体" w:hAnsi="宋体"/>
                <w:sz w:val="18"/>
                <w:szCs w:val="18"/>
              </w:rPr>
              <w:t>&gt;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0cm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（测试标签：Impinj E41b）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读取距离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(VH-75T)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读取距离大于5米，</w:t>
            </w:r>
            <w:r>
              <w:rPr>
                <w:rFonts w:hint="eastAsia" w:ascii="宋体" w:hAnsi="宋体"/>
                <w:sz w:val="18"/>
                <w:szCs w:val="18"/>
              </w:rPr>
              <w:t>写入距离</w:t>
            </w:r>
            <w:r>
              <w:rPr>
                <w:rFonts w:ascii="宋体" w:hAnsi="宋体"/>
                <w:sz w:val="18"/>
                <w:szCs w:val="18"/>
              </w:rPr>
              <w:t>&gt;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0cm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（测试标签：Impinj E41b）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多标签读取速度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＞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50张/秒（峰值）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区域支持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美国、加拿大和其他符合美国FCC Part 15规范的地区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欧洲和其他符合ETSI EN 302 308规范地区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中国、印度、日本、韩国、马来西亚、台湾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 xml:space="preserve"> 气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参 数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Cpu控制芯片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ARM（STM32F103）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06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</w:rPr>
              <w:t>存储卡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</w:rPr>
              <w:t>2G</w:t>
            </w:r>
            <w:r>
              <w:rPr>
                <w:rFonts w:ascii="宋体" w:hAnsi="宋体"/>
                <w:spacing w:val="20"/>
                <w:sz w:val="18"/>
                <w:szCs w:val="18"/>
              </w:rPr>
              <w:t>b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(</w:t>
            </w:r>
            <w:r>
              <w:rPr>
                <w:rFonts w:ascii="宋体" w:hAnsi="宋体"/>
                <w:spacing w:val="20"/>
                <w:sz w:val="18"/>
                <w:szCs w:val="18"/>
              </w:rPr>
              <w:t>NandFlash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USB接口类型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Micro-B，</w:t>
            </w:r>
            <w:r>
              <w:rPr>
                <w:rFonts w:hint="eastAsia" w:ascii="宋体" w:hAnsi="宋体"/>
                <w:sz w:val="18"/>
                <w:szCs w:val="18"/>
              </w:rPr>
              <w:t>USB</w:t>
            </w: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无线通讯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Bluetooth </w:t>
            </w:r>
            <w:r>
              <w:rPr>
                <w:rFonts w:hint="eastAsia" w:ascii="宋体" w:hAnsi="宋体"/>
                <w:sz w:val="18"/>
                <w:szCs w:val="18"/>
              </w:rPr>
              <w:t>4.0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通信速率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速率9600～115200bps，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可靠的固件升级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可扩展的升级机制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应用软件接口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提供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基于</w:t>
            </w:r>
            <w:r>
              <w:rPr>
                <w:color w:val="333333"/>
                <w:sz w:val="18"/>
                <w:szCs w:val="18"/>
              </w:rPr>
              <w:t>Android安卓</w:t>
            </w:r>
            <w:r>
              <w:rPr>
                <w:rFonts w:hint="eastAsia" w:ascii="宋体" w:hAnsi="宋体"/>
                <w:spacing w:val="20"/>
                <w:sz w:val="18"/>
                <w:szCs w:val="18"/>
                <w:lang w:eastAsia="zh-CN"/>
              </w:rPr>
              <w:t>、苹果</w:t>
            </w: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iOS系统平台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下的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API开发包及应用例程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读卡提示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震动马达</w:t>
            </w:r>
            <w:r>
              <w:rPr>
                <w:rFonts w:hint="eastAsia" w:ascii="宋体" w:hAnsi="宋体"/>
                <w:sz w:val="18"/>
                <w:szCs w:val="18"/>
              </w:rPr>
              <w:t>、蜂鸣器、LED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Verdana" w:hAnsi="Verdana"/>
                <w:sz w:val="18"/>
                <w:szCs w:val="18"/>
              </w:rPr>
              <w:t>待机时间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150小时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电源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可充</w:t>
            </w:r>
            <w:r>
              <w:rPr>
                <w:rFonts w:hint="eastAsia" w:ascii="宋体" w:hAnsi="宋体"/>
                <w:sz w:val="18"/>
                <w:szCs w:val="18"/>
              </w:rPr>
              <w:t>电锂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聚合物</w:t>
            </w:r>
            <w:r>
              <w:rPr>
                <w:rFonts w:hint="eastAsia" w:ascii="宋体" w:hAnsi="宋体"/>
                <w:sz w:val="18"/>
                <w:szCs w:val="18"/>
              </w:rPr>
              <w:t>电池（3.7V,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/>
                <w:sz w:val="18"/>
                <w:szCs w:val="18"/>
              </w:rPr>
              <w:t>00mAH）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环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境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参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数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湿度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5%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RH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>95%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RH(</w:t>
            </w:r>
            <w:r>
              <w:rPr>
                <w:rFonts w:ascii="宋体" w:hAnsi="宋体"/>
                <w:sz w:val="18"/>
                <w:szCs w:val="18"/>
              </w:rPr>
              <w:t>非凝结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防护等级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IEC IP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工作温度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-20ºC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 xml:space="preserve"> +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存储温度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</w:rPr>
              <w:t>25</w:t>
            </w:r>
            <w:r>
              <w:rPr>
                <w:rFonts w:ascii="宋体" w:hAnsi="宋体"/>
                <w:sz w:val="18"/>
                <w:szCs w:val="18"/>
              </w:rPr>
              <w:t>ºC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宋体" w:hAnsi="宋体"/>
                <w:sz w:val="18"/>
                <w:szCs w:val="18"/>
              </w:rPr>
              <w:t>70</w:t>
            </w:r>
            <w:r>
              <w:rPr>
                <w:rFonts w:ascii="宋体" w:hAnsi="宋体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坠地抗震高度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1.2m/6.56ft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/>
                <w:color w:val="FFFFFF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物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理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参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数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尺寸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180(长)*</w:t>
            </w:r>
            <w:r>
              <w:rPr>
                <w:rFonts w:ascii="宋体" w:hAnsi="宋体"/>
                <w:sz w:val="18"/>
                <w:szCs w:val="18"/>
              </w:rPr>
              <w:t>65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(宽)*</w:t>
            </w:r>
            <w:r>
              <w:rPr>
                <w:rFonts w:ascii="宋体" w:hAnsi="宋体"/>
                <w:sz w:val="18"/>
                <w:szCs w:val="18"/>
              </w:rPr>
              <w:t>65</w:t>
            </w:r>
            <w:r>
              <w:rPr>
                <w:rFonts w:hint="eastAsia" w:ascii="宋体" w:hAnsi="宋体"/>
                <w:sz w:val="18"/>
                <w:szCs w:val="18"/>
              </w:rPr>
              <w:t>(高)mm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重量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250g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（含电池）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外壳材质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ABS+PC</w:t>
            </w: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/>
                <w:color w:val="FFFF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产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eastAsia="zh-CN"/>
              </w:rPr>
              <w:t>品</w:t>
            </w:r>
            <w:r>
              <w:rPr>
                <w:rFonts w:hint="eastAsia" w:ascii="宋体" w:hAnsi="宋体"/>
                <w:b/>
                <w:bCs/>
                <w:color w:val="FFFFFF"/>
                <w:sz w:val="18"/>
                <w:szCs w:val="18"/>
                <w:lang w:val="en-US" w:eastAsia="zh-CN"/>
              </w:rPr>
              <w:t xml:space="preserve"> 配 件</w:t>
            </w: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宋体" w:hAnsi="宋体"/>
                <w:color w:val="FFFF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262626" w:sz="6" w:space="0"/>
            <w:left w:val="single" w:color="262626" w:sz="6" w:space="0"/>
            <w:bottom w:val="single" w:color="262626" w:sz="6" w:space="0"/>
            <w:right w:val="single" w:color="262626" w:sz="6" w:space="0"/>
            <w:insideH w:val="single" w:color="262626" w:sz="6" w:space="0"/>
            <w:insideV w:val="single" w:color="262626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9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电池              充电器数据线                 挂绳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53975</wp:posOffset>
                  </wp:positionV>
                  <wp:extent cx="615315" cy="648335"/>
                  <wp:effectExtent l="0" t="0" r="13335" b="18415"/>
                  <wp:wrapSquare wrapText="bothSides"/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66040</wp:posOffset>
                  </wp:positionV>
                  <wp:extent cx="677545" cy="640080"/>
                  <wp:effectExtent l="0" t="0" r="8255" b="7620"/>
                  <wp:wrapSquare wrapText="bothSides"/>
                  <wp:docPr id="11" name="图片 4" descr="电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 descr="电池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3264535</wp:posOffset>
                  </wp:positionH>
                  <wp:positionV relativeFrom="paragraph">
                    <wp:posOffset>50165</wp:posOffset>
                  </wp:positionV>
                  <wp:extent cx="632460" cy="652145"/>
                  <wp:effectExtent l="0" t="0" r="15240" b="14605"/>
                  <wp:wrapSquare wrapText="bothSides"/>
                  <wp:docPr id="1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jc w:val="center"/>
        <w:rPr>
          <w:sz w:val="17"/>
        </w:rPr>
      </w:pPr>
      <w:bookmarkStart w:id="0" w:name="_GoBack"/>
      <w:bookmarkEnd w:id="0"/>
      <w:r>
        <w:drawing>
          <wp:inline distT="0" distB="0" distL="114300" distR="114300">
            <wp:extent cx="5098415" cy="3514090"/>
            <wp:effectExtent l="0" t="0" r="698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021"/>
    <w:multiLevelType w:val="multilevel"/>
    <w:tmpl w:val="1011002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E54719A"/>
    <w:multiLevelType w:val="multilevel"/>
    <w:tmpl w:val="5E54719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1333"/>
    <w:rsid w:val="037F3E75"/>
    <w:rsid w:val="09550008"/>
    <w:rsid w:val="0BB126C2"/>
    <w:rsid w:val="150250A7"/>
    <w:rsid w:val="1A642E45"/>
    <w:rsid w:val="22BC4FBD"/>
    <w:rsid w:val="26216889"/>
    <w:rsid w:val="29AE3FC0"/>
    <w:rsid w:val="2D106999"/>
    <w:rsid w:val="308822AC"/>
    <w:rsid w:val="33981908"/>
    <w:rsid w:val="35512361"/>
    <w:rsid w:val="359E5484"/>
    <w:rsid w:val="36FB6646"/>
    <w:rsid w:val="4DB50956"/>
    <w:rsid w:val="525B5F30"/>
    <w:rsid w:val="56F95941"/>
    <w:rsid w:val="59B2381B"/>
    <w:rsid w:val="5CF770E5"/>
    <w:rsid w:val="652619AF"/>
    <w:rsid w:val="6D4F4AD9"/>
    <w:rsid w:val="71000741"/>
    <w:rsid w:val="7B7D27FC"/>
    <w:rsid w:val="7CE96CC2"/>
    <w:rsid w:val="7FBC4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2020-09-30T03:42:52Z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