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正方形抗金属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RFID标签</w:t>
            </w:r>
          </w:p>
          <w:bookmarkEnd w:id="0"/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VT-R51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3175</wp:posOffset>
                  </wp:positionV>
                  <wp:extent cx="2009140" cy="1552575"/>
                  <wp:effectExtent l="0" t="0" r="10160" b="9525"/>
                  <wp:wrapTight wrapText="bothSides">
                    <wp:wrapPolygon>
                      <wp:start x="0" y="0"/>
                      <wp:lineTo x="0" y="21467"/>
                      <wp:lineTo x="21300" y="21467"/>
                      <wp:lineTo x="21300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62865</wp:posOffset>
                  </wp:positionV>
                  <wp:extent cx="1311275" cy="1087120"/>
                  <wp:effectExtent l="0" t="0" r="3175" b="1778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此标签为全频段标签，采用高性能的Impinj-Monza-4QT芯片，达到最佳读取效果; 线极化设计，在特定方向具有超高读取率、标签识别灵敏度高;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圆极化设计，在特定方向具有超高读取率、标签识别灵敏度高;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21"/>
          <w:szCs w:val="21"/>
        </w:rPr>
        <w:t>适用于任何金属类资产管理与追踪；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981" w:tblpY="303"/>
        <w:tblOverlap w:val="never"/>
        <w:tblW w:w="10386" w:type="dxa"/>
        <w:tblInd w:w="0" w:type="dxa"/>
        <w:tblBorders>
          <w:top w:val="single" w:color="A4A4A4" w:themeColor="background1" w:themeShade="A5" w:sz="2" w:space="0"/>
          <w:left w:val="single" w:color="A4A4A4" w:themeColor="background1" w:themeShade="A5" w:sz="2" w:space="0"/>
          <w:bottom w:val="single" w:color="A4A4A4" w:themeColor="background1" w:themeShade="A5" w:sz="2" w:space="0"/>
          <w:right w:val="single" w:color="A4A4A4" w:themeColor="background1" w:themeShade="A5" w:sz="2" w:space="0"/>
          <w:insideH w:val="single" w:color="A4A4A4" w:themeColor="background1" w:themeShade="A5" w:sz="2" w:space="0"/>
          <w:insideV w:val="single" w:color="A4A4A4" w:themeColor="background1" w:themeShade="A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646"/>
      </w:tblGrid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left"/>
              <w:rPr>
                <w:rFonts w:hint="default" w:ascii="微软雅黑" w:hAnsi="微软雅黑" w:eastAsia="微软雅黑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  <w:t>VT-R51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38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工作模式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防护等级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IP55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适用环境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安装在金属表面效果最佳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38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300"/>
              <w:jc w:val="left"/>
              <w:rPr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金属表面5m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非金属表面3m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38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3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-35ºC to 85ºC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-35°C to 85°C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丝印（可定制图案，增值服务）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安装方式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使用螺丝、铆钉、粘合剂、扎带固定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 g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应用</w:t>
            </w:r>
          </w:p>
        </w:tc>
        <w:tc>
          <w:tcPr>
            <w:tcW w:w="864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金属类资产管理与追踪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left"/>
        <w:rPr>
          <w:sz w:val="17"/>
        </w:rPr>
      </w:pPr>
    </w:p>
    <w:p>
      <w:pPr>
        <w:pStyle w:val="3"/>
        <w:jc w:val="left"/>
        <w:rPr>
          <w:sz w:val="17"/>
        </w:rPr>
      </w:pPr>
    </w:p>
    <w:p>
      <w:pPr>
        <w:pStyle w:val="3"/>
        <w:jc w:val="left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AA98"/>
    <w:multiLevelType w:val="singleLevel"/>
    <w:tmpl w:val="3F81AA9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EE33860"/>
    <w:rsid w:val="13DA282B"/>
    <w:rsid w:val="150250A7"/>
    <w:rsid w:val="179A251F"/>
    <w:rsid w:val="1B0817B0"/>
    <w:rsid w:val="1E5B0D36"/>
    <w:rsid w:val="26216889"/>
    <w:rsid w:val="29AE3FC0"/>
    <w:rsid w:val="2CF079FF"/>
    <w:rsid w:val="31592977"/>
    <w:rsid w:val="33AE0DD6"/>
    <w:rsid w:val="33D50F53"/>
    <w:rsid w:val="399C2C7E"/>
    <w:rsid w:val="3B563CAA"/>
    <w:rsid w:val="3D4D75BA"/>
    <w:rsid w:val="3F120821"/>
    <w:rsid w:val="40400406"/>
    <w:rsid w:val="43720EF2"/>
    <w:rsid w:val="4DB50956"/>
    <w:rsid w:val="4FF97A81"/>
    <w:rsid w:val="525B5F30"/>
    <w:rsid w:val="59B2381B"/>
    <w:rsid w:val="5F2B23EA"/>
    <w:rsid w:val="63E173CD"/>
    <w:rsid w:val="649A105A"/>
    <w:rsid w:val="652619AF"/>
    <w:rsid w:val="65E73CB5"/>
    <w:rsid w:val="679B5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2020-08-03T03:58:19Z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