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/>
    <w:p/>
    <w:p/>
    <w:p>
      <w:pPr>
        <w:jc w:val="center"/>
        <w:rPr>
          <w:rFonts w:hint="eastAsia"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  <w:lang w:val="en-US" w:eastAsia="zh-CN"/>
        </w:rPr>
        <w:t>VL-W01</w:t>
      </w:r>
      <w:r>
        <w:rPr>
          <w:rFonts w:hint="eastAsia" w:ascii="隶书" w:eastAsia="隶书"/>
          <w:sz w:val="72"/>
          <w:szCs w:val="72"/>
        </w:rPr>
        <w:t>型馆员工作站</w:t>
      </w: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rPr>
          <w:rFonts w:ascii="隶书" w:eastAsia="隶书"/>
          <w:sz w:val="96"/>
        </w:rPr>
      </w:pPr>
      <w:r>
        <w:drawing>
          <wp:anchor distT="0" distB="0" distL="114300" distR="114300" simplePos="0" relativeHeight="252328960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471170</wp:posOffset>
            </wp:positionV>
            <wp:extent cx="2633980" cy="2533015"/>
            <wp:effectExtent l="0" t="0" r="13970" b="635"/>
            <wp:wrapTight wrapText="bothSides">
              <wp:wrapPolygon>
                <wp:start x="0" y="0"/>
                <wp:lineTo x="0" y="21443"/>
                <wp:lineTo x="21402" y="21443"/>
                <wp:lineTo x="21402" y="0"/>
                <wp:lineTo x="0" y="0"/>
              </wp:wrapPolygon>
            </wp:wrapTight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4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jc w:val="both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VL-W01</w:t>
      </w:r>
      <w:r>
        <w:rPr>
          <w:rFonts w:hint="eastAsia" w:ascii="楷体_GB2312" w:hAnsi="宋体" w:eastAsia="楷体_GB2312" w:cs="Arial Unicode MS"/>
          <w:sz w:val="28"/>
          <w:szCs w:val="28"/>
        </w:rPr>
        <w:t>型馆员工作站。</w:t>
      </w:r>
    </w:p>
    <w:p>
      <w:pPr>
        <w:tabs>
          <w:tab w:val="left" w:pos="7380"/>
        </w:tabs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3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深圳市万全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智能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技术有限</w:t>
      </w:r>
      <w:r>
        <w:rPr>
          <w:rFonts w:hint="eastAsia" w:ascii="楷体_GB2312" w:hAnsi="宋体" w:eastAsia="楷体_GB2312" w:cs="Arial Unicode MS"/>
          <w:sz w:val="28"/>
          <w:szCs w:val="28"/>
        </w:rPr>
        <w:t>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3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"_Toc529258831"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5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_Toc529258831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"_Toc529258832" </w:instrText>
          </w:r>
          <w:r>
            <w:fldChar w:fldCharType="separate"/>
          </w:r>
          <w:r>
            <w:rPr>
              <w:rStyle w:val="15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_Toc529258832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"_Toc529258833" </w:instrText>
          </w:r>
          <w:r>
            <w:fldChar w:fldCharType="separate"/>
          </w:r>
          <w:r>
            <w:rPr>
              <w:rStyle w:val="15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_Toc529258833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"_Toc529258834" </w:instrText>
          </w:r>
          <w:r>
            <w:fldChar w:fldCharType="separate"/>
          </w:r>
          <w:r>
            <w:rPr>
              <w:rStyle w:val="15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_Toc529258834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"_Toc529258835"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5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_Toc529258835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"_Toc529258836"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5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_Toc529258836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5"/>
            </w:rPr>
            <w:t>安装调试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"_Toc529258841" </w:instrText>
          </w:r>
          <w:r>
            <w:fldChar w:fldCharType="separate"/>
          </w:r>
          <w:r>
            <w:rPr>
              <w:rStyle w:val="15"/>
            </w:rPr>
            <w:t>4.1配件安装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"_Toc529258846" </w:instrText>
          </w:r>
          <w:r>
            <w:fldChar w:fldCharType="separate"/>
          </w:r>
          <w:r>
            <w:rPr>
              <w:rStyle w:val="15"/>
            </w:rPr>
            <w:t>4.2性能验收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"_Toc529258848"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5"/>
            </w:rPr>
            <w:t>日常维护及维修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"_Toc529258849" </w:instrText>
          </w:r>
          <w:r>
            <w:fldChar w:fldCharType="separate"/>
          </w:r>
          <w:r>
            <w:rPr>
              <w:rStyle w:val="15"/>
            </w:rPr>
            <w:t>5.1常见故障分析及解决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5"/>
            </w:rPr>
            <w:t>运输贮存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"_Toc529258851" </w:instrText>
          </w:r>
          <w:r>
            <w:fldChar w:fldCharType="separate"/>
          </w:r>
          <w:r>
            <w:rPr>
              <w:rStyle w:val="15"/>
            </w:rPr>
            <w:t>6.1运输及要求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"_Toc529258852" </w:instrText>
          </w:r>
          <w:r>
            <w:fldChar w:fldCharType="separate"/>
          </w:r>
          <w:r>
            <w:rPr>
              <w:rStyle w:val="15"/>
            </w:rPr>
            <w:t>6.2储存要求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"_Toc529258853"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5"/>
            </w:rPr>
            <w:t>装箱清单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"_Toc529258854"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5"/>
            </w:rPr>
            <w:t>售后及联系方式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"_Toc529258855" </w:instrText>
          </w:r>
          <w:r>
            <w:fldChar w:fldCharType="separate"/>
          </w:r>
          <w:r>
            <w:rPr>
              <w:rStyle w:val="15"/>
            </w:rPr>
            <w:t>a)</w:t>
          </w:r>
          <w:r>
            <w:tab/>
          </w:r>
          <w:r>
            <w:rPr>
              <w:rStyle w:val="15"/>
            </w:rPr>
            <w:t>售后服务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"_Toc529258856" </w:instrText>
          </w:r>
          <w:r>
            <w:fldChar w:fldCharType="separate"/>
          </w:r>
          <w:r>
            <w:rPr>
              <w:rStyle w:val="15"/>
            </w:rPr>
            <w:t>b)</w:t>
          </w:r>
          <w:r>
            <w:tab/>
          </w:r>
          <w:r>
            <w:rPr>
              <w:rStyle w:val="15"/>
            </w:rPr>
            <w:t>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529258831"/>
      <w:bookmarkStart w:id="3" w:name="_Toc529049090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049091"/>
      <w:bookmarkStart w:id="5" w:name="_Toc529258832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 w:firstLine="420" w:firstLineChars="200"/>
        <w:rPr>
          <w:rFonts w:ascii="等线" w:hAnsi="等线" w:eastAsia="等线"/>
          <w:color w:val="6C6C6C"/>
        </w:rPr>
      </w:pPr>
      <w:bookmarkStart w:id="6" w:name="_Toc529258833"/>
      <w:bookmarkStart w:id="7" w:name="_Toc529049092"/>
      <w:r>
        <w:rPr>
          <w:rFonts w:hint="eastAsia" w:ascii="微软雅黑" w:hAnsi="微软雅黑" w:eastAsia="微软雅黑"/>
          <w:color w:val="434343"/>
          <w:sz w:val="21"/>
          <w:szCs w:val="21"/>
          <w:shd w:val="clear" w:color="auto" w:fill="FFFFFF"/>
        </w:rPr>
        <w:t>图书馆管理员用来录入图书、读者资料，转换标签等</w:t>
      </w:r>
    </w:p>
    <w:p>
      <w:pPr>
        <w:pStyle w:val="3"/>
      </w:pPr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9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产品适用于室内图书馆/档案馆、等使用场景，要求环境有网络覆盖，无雨水及扬尘的环境下。</w:t>
      </w:r>
    </w:p>
    <w:p>
      <w:pPr>
        <w:pStyle w:val="19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（特殊室外场景，可做防水处理）</w:t>
      </w:r>
    </w:p>
    <w:p>
      <w:pPr>
        <w:pStyle w:val="19"/>
        <w:widowControl/>
        <w:ind w:left="790" w:firstLine="0" w:firstLineChars="0"/>
        <w:jc w:val="left"/>
        <w:rPr>
          <w:sz w:val="24"/>
        </w:rPr>
      </w:pPr>
    </w:p>
    <w:p>
      <w:pPr>
        <w:pStyle w:val="3"/>
      </w:pPr>
      <w:bookmarkStart w:id="8" w:name="_Toc529258834"/>
      <w:bookmarkStart w:id="9" w:name="_Toc529049093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面板为钢化玻璃材质，禁止重力或尖锐物品撞击。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除维修人员外，其他人禁止打开侧面维修面板；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设备保持清洁，良好通风；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pStyle w:val="2"/>
      </w:pPr>
      <w:bookmarkStart w:id="10" w:name="_Toc529049095"/>
      <w:bookmarkStart w:id="11" w:name="_Toc529258835"/>
      <w:r>
        <w:rPr>
          <w:rFonts w:hint="eastAsia"/>
        </w:rPr>
        <w:t>技术</w:t>
      </w:r>
      <w:r>
        <w:t>参数</w:t>
      </w:r>
      <w:bookmarkEnd w:id="10"/>
      <w:bookmarkEnd w:id="11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560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参数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规格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型号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VL-W01</w:t>
            </w:r>
          </w:p>
        </w:tc>
        <w:tc>
          <w:tcPr>
            <w:tcW w:w="3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2229632" behindDoc="1" locked="0" layoutInCell="1" allowOverlap="1">
                  <wp:simplePos x="0" y="0"/>
                  <wp:positionH relativeFrom="margin">
                    <wp:posOffset>172720</wp:posOffset>
                  </wp:positionH>
                  <wp:positionV relativeFrom="paragraph">
                    <wp:posOffset>2040255</wp:posOffset>
                  </wp:positionV>
                  <wp:extent cx="1840230" cy="1688465"/>
                  <wp:effectExtent l="0" t="0" r="45720" b="45085"/>
                  <wp:wrapTight wrapText="bothSides">
                    <wp:wrapPolygon>
                      <wp:start x="0" y="0"/>
                      <wp:lineTo x="0" y="21446"/>
                      <wp:lineTo x="21466" y="21446"/>
                      <wp:lineTo x="21466" y="0"/>
                      <wp:lineTo x="0" y="0"/>
                    </wp:wrapPolygon>
                  </wp:wrapTight>
                  <wp:docPr id="4" name="图片 4" descr="IMG_7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7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75565</wp:posOffset>
                  </wp:positionV>
                  <wp:extent cx="2122805" cy="1756410"/>
                  <wp:effectExtent l="0" t="0" r="10795" b="15240"/>
                  <wp:wrapSquare wrapText="bothSides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175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工作频率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bCs/>
                <w:szCs w:val="21"/>
              </w:rPr>
              <w:t>920～925MHz MHZ或13.56MHz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 w:val="22"/>
              </w:rPr>
              <w:t>射频协议标准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ISO 18000-6C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EPC C1G2）/ ISO18000-3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分辨率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1920*1280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Windows/Android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工控机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Intel Celeron J1900  2.0GHz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标准功能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全协议高频读头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选配功能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二维码扫描、身份证、人脸识别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显示屏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寸触摸屏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通讯接口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网口R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J45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、U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、WiFi（选配）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外壳材料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碳钢板，钣金喷涂，钢化玻璃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机身 白色、银色；可自定义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550mm* 450mm*1652mm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-10℃--50℃</w:t>
            </w:r>
          </w:p>
        </w:tc>
        <w:tc>
          <w:tcPr>
            <w:tcW w:w="357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工作电压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AC220V±10％</w:t>
            </w:r>
          </w:p>
        </w:tc>
        <w:tc>
          <w:tcPr>
            <w:tcW w:w="357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整机功率</w:t>
            </w:r>
          </w:p>
        </w:tc>
        <w:tc>
          <w:tcPr>
            <w:tcW w:w="356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40W</w:t>
            </w:r>
          </w:p>
        </w:tc>
        <w:tc>
          <w:tcPr>
            <w:tcW w:w="35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pStyle w:val="2"/>
      </w:pPr>
      <w:bookmarkStart w:id="12" w:name="_Toc529258836"/>
      <w:bookmarkStart w:id="13" w:name="_Toc529049096"/>
      <w:r>
        <w:t>尺寸</w:t>
      </w:r>
      <w:r>
        <w:rPr>
          <w:rFonts w:hint="eastAsia"/>
        </w:rPr>
        <w:t>图</w:t>
      </w:r>
      <w:bookmarkEnd w:id="12"/>
      <w:bookmarkEnd w:id="13"/>
    </w:p>
    <w:p/>
    <w:p>
      <w:pPr>
        <w:jc w:val="center"/>
        <w:rPr>
          <w:sz w:val="24"/>
        </w:rPr>
      </w:pPr>
      <w:r>
        <w:rPr>
          <w:rFonts w:hint="eastAsia"/>
        </w:rPr>
        <w:drawing>
          <wp:anchor distT="0" distB="0" distL="114300" distR="114300" simplePos="0" relativeHeight="252325888" behindDoc="1" locked="0" layoutInCell="1" allowOverlap="1">
            <wp:simplePos x="0" y="0"/>
            <wp:positionH relativeFrom="margin">
              <wp:posOffset>-360045</wp:posOffset>
            </wp:positionH>
            <wp:positionV relativeFrom="paragraph">
              <wp:posOffset>33020</wp:posOffset>
            </wp:positionV>
            <wp:extent cx="5628005" cy="3573145"/>
            <wp:effectExtent l="0" t="0" r="10795" b="8255"/>
            <wp:wrapTight wrapText="bothSides">
              <wp:wrapPolygon>
                <wp:start x="0" y="0"/>
                <wp:lineTo x="0" y="21535"/>
                <wp:lineTo x="21495" y="21535"/>
                <wp:lineTo x="21495" y="0"/>
                <wp:lineTo x="0" y="0"/>
              </wp:wrapPolygon>
            </wp:wrapTight>
            <wp:docPr id="2" name="图片 2" descr="一体馆员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体馆员尺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</w:p>
    <w:p>
      <w:pPr>
        <w:jc w:val="left"/>
        <w:rPr>
          <w:b/>
          <w:sz w:val="30"/>
          <w:szCs w:val="30"/>
        </w:rPr>
      </w:pPr>
    </w:p>
    <w:p/>
    <w:p/>
    <w:p/>
    <w:p/>
    <w:p/>
    <w:p/>
    <w:p/>
    <w:p>
      <w:r>
        <w:drawing>
          <wp:anchor distT="0" distB="0" distL="0" distR="0" simplePos="0" relativeHeight="252326912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25400</wp:posOffset>
            </wp:positionV>
            <wp:extent cx="3474085" cy="1887855"/>
            <wp:effectExtent l="0" t="0" r="12065" b="17145"/>
            <wp:wrapTight wrapText="bothSides">
              <wp:wrapPolygon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327936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109855</wp:posOffset>
            </wp:positionV>
            <wp:extent cx="3020060" cy="1715770"/>
            <wp:effectExtent l="0" t="0" r="8890" b="17780"/>
            <wp:wrapTight wrapText="bothSides">
              <wp:wrapPolygon>
                <wp:start x="0" y="0"/>
                <wp:lineTo x="0" y="21344"/>
                <wp:lineTo x="21527" y="21344"/>
                <wp:lineTo x="21527" y="0"/>
                <wp:lineTo x="0" y="0"/>
              </wp:wrapPolygon>
            </wp:wrapTight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199390</wp:posOffset>
                </wp:positionV>
                <wp:extent cx="1412875" cy="524510"/>
                <wp:effectExtent l="0" t="0" r="0" b="889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01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25pt;margin-top:15.7pt;height:41.3pt;width:111.25pt;z-index:251807744;mso-width-relative:page;mso-height-relative:page;" fillcolor="#FFFFFF [3201]" filled="t" stroked="f" coordsize="21600,21600" o:gfxdata="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2Rb8nVAAAACgEAAA8AAAAAAAAAAQAgAAAAIgAAAGRycy9kb3ducmV2Lnht&#10;bFBLAQIUABQAAAAIAIdO4kBdi7bz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1617980</wp:posOffset>
                </wp:positionV>
                <wp:extent cx="579755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2pt;margin-top:127.4pt;height:0pt;width:45.65pt;z-index:251752448;mso-width-relative:page;mso-height-relative:page;" filled="f" stroked="t" coordsize="21600,21600" o:gfxdata="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fjoM3XAAAACwEAAA8AAAAAAAAAAQAg&#10;AAAAIgAAAGRycy9kb3ducmV2LnhtbFBLAQIUABQAAAAIAIdO4kAtk2mY1gEAAG4DAAAOAAAAAAAA&#10;AAEAIAAAACYBAABkcnMvZTJvRG9jLnhtbFBLBQYAAAAABgAGAFkBAABu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14" w:name="_Toc529049099"/>
      <w:bookmarkStart w:id="15" w:name="_Toc529258840"/>
      <w:r>
        <w:t>安装</w:t>
      </w:r>
      <w:bookmarkEnd w:id="14"/>
      <w:bookmarkEnd w:id="15"/>
    </w:p>
    <w:p>
      <w:pPr>
        <w:ind w:firstLine="560" w:firstLineChars="200"/>
        <w:rPr>
          <w:rFonts w:eastAsiaTheme="minorHAnsi"/>
          <w:b/>
          <w:sz w:val="28"/>
          <w:szCs w:val="28"/>
        </w:rPr>
      </w:pPr>
      <w:bookmarkStart w:id="16" w:name="_Toc240276488"/>
      <w:bookmarkStart w:id="17" w:name="_Toc529049100"/>
      <w:r>
        <w:rPr>
          <w:rFonts w:hint="eastAsia" w:eastAsiaTheme="minorHAnsi"/>
          <w:b/>
          <w:sz w:val="28"/>
          <w:szCs w:val="28"/>
        </w:rPr>
        <w:t>5</w:t>
      </w:r>
      <w:r>
        <w:rPr>
          <w:rFonts w:eastAsiaTheme="minorHAnsi"/>
          <w:b/>
          <w:sz w:val="28"/>
          <w:szCs w:val="28"/>
        </w:rPr>
        <w:t>.1</w:t>
      </w:r>
    </w:p>
    <w:p>
      <w:pPr>
        <w:ind w:firstLine="420" w:firstLineChars="200"/>
      </w:pPr>
      <w:r>
        <w:rPr>
          <w:rFonts w:hint="eastAsia"/>
        </w:rPr>
        <w:t>底部由四颗</w:t>
      </w:r>
      <w:r>
        <w:t>M8*60mm</w:t>
      </w:r>
      <w:r>
        <w:rPr>
          <w:rFonts w:hint="eastAsia"/>
        </w:rPr>
        <w:t>的橡胶式脚杯</w:t>
      </w:r>
      <w:r>
        <w:t>固定，起到稳固作用</w:t>
      </w:r>
    </w:p>
    <w:p/>
    <w:p>
      <w:pPr>
        <w:pStyle w:val="3"/>
        <w:tabs>
          <w:tab w:val="left" w:pos="7280"/>
        </w:tabs>
      </w:pPr>
      <w:bookmarkStart w:id="18" w:name="_Toc529258845"/>
      <w:r>
        <w:rPr>
          <w:rFonts w:hint="eastAsia"/>
        </w:rPr>
        <w:t>5</w:t>
      </w:r>
      <w:r>
        <w:t>.2</w:t>
      </w:r>
      <w:r>
        <w:rPr>
          <w:rFonts w:hint="eastAsia"/>
        </w:rPr>
        <w:t>结构验收</w:t>
      </w:r>
      <w:bookmarkEnd w:id="16"/>
      <w:bookmarkEnd w:id="17"/>
      <w:bookmarkEnd w:id="18"/>
      <w:r>
        <w:tab/>
      </w:r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19" w:name="_Toc529049101"/>
      <w:bookmarkStart w:id="20" w:name="_Toc240276489"/>
      <w:bookmarkStart w:id="21" w:name="_Toc529258846"/>
      <w:r>
        <w:rPr>
          <w:rFonts w:hint="eastAsia"/>
        </w:rPr>
        <w:t>5</w:t>
      </w:r>
      <w:r>
        <w:t>.2</w:t>
      </w:r>
      <w:r>
        <w:rPr>
          <w:rFonts w:hint="eastAsia"/>
        </w:rPr>
        <w:t>性能验收</w:t>
      </w:r>
      <w:bookmarkEnd w:id="19"/>
      <w:bookmarkEnd w:id="20"/>
      <w:bookmarkEnd w:id="21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3"/>
      </w:pPr>
      <w:bookmarkStart w:id="22" w:name="_Toc529049102"/>
      <w:bookmarkStart w:id="23" w:name="_Toc529258847"/>
      <w:r>
        <w:rPr>
          <w:rFonts w:hint="eastAsia"/>
        </w:rPr>
        <w:t>5</w:t>
      </w:r>
      <w:r>
        <w:t>.3</w:t>
      </w:r>
      <w:r>
        <w:rPr>
          <w:rFonts w:hint="eastAsia"/>
        </w:rPr>
        <w:t>软件测试</w:t>
      </w:r>
      <w:bookmarkEnd w:id="22"/>
      <w:bookmarkEnd w:id="23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ind w:firstLine="420" w:firstLineChars="200"/>
        <w:jc w:val="left"/>
      </w:pPr>
    </w:p>
    <w:p>
      <w:pPr>
        <w:pStyle w:val="2"/>
      </w:pPr>
      <w:bookmarkStart w:id="24" w:name="_Toc529049103"/>
      <w:bookmarkStart w:id="25" w:name="_Toc529258848"/>
      <w:r>
        <w:t>日常维护及维修</w:t>
      </w:r>
      <w:bookmarkEnd w:id="24"/>
      <w:bookmarkEnd w:id="25"/>
    </w:p>
    <w:p>
      <w:pPr>
        <w:pStyle w:val="3"/>
      </w:pPr>
      <w:bookmarkStart w:id="26" w:name="_Toc529258849"/>
      <w:r>
        <w:rPr>
          <w:rFonts w:hint="eastAsia"/>
        </w:rPr>
        <w:t>6</w:t>
      </w:r>
      <w:r>
        <w:t>.1</w:t>
      </w:r>
      <w:r>
        <w:rPr>
          <w:rFonts w:hint="eastAsia"/>
        </w:rPr>
        <w:t>常见故障分析及解决</w:t>
      </w:r>
      <w:bookmarkEnd w:id="26"/>
    </w:p>
    <w:p>
      <w:pPr>
        <w:pStyle w:val="2"/>
      </w:pPr>
      <w:bookmarkStart w:id="27" w:name="_Toc529049104"/>
      <w:bookmarkStart w:id="28" w:name="_Toc529258850"/>
      <w:r>
        <w:t>运输贮存</w:t>
      </w:r>
      <w:bookmarkEnd w:id="27"/>
      <w:bookmarkEnd w:id="28"/>
    </w:p>
    <w:p>
      <w:pPr>
        <w:pStyle w:val="3"/>
      </w:pPr>
      <w:bookmarkStart w:id="29" w:name="_Toc529049105"/>
      <w:bookmarkStart w:id="30" w:name="_Toc529258851"/>
      <w:r>
        <w:rPr>
          <w:rFonts w:hint="eastAsia"/>
          <w:b w:val="0"/>
        </w:rPr>
        <w:t>7</w:t>
      </w:r>
      <w:r>
        <w:rPr>
          <w:b w:val="0"/>
        </w:rPr>
        <w:t>.1</w:t>
      </w:r>
      <w:r>
        <w:rPr>
          <w:rFonts w:hint="eastAsia"/>
        </w:rPr>
        <w:t>运输</w:t>
      </w:r>
      <w:bookmarkEnd w:id="29"/>
      <w:r>
        <w:rPr>
          <w:rFonts w:hint="eastAsia"/>
        </w:rPr>
        <w:t>及要求</w:t>
      </w:r>
      <w:bookmarkEnd w:id="30"/>
    </w:p>
    <w:p>
      <w:pPr>
        <w:jc w:val="center"/>
      </w:pPr>
    </w:p>
    <w:p>
      <w:pPr>
        <w:jc w:val="center"/>
      </w:pPr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包装方式采用了纸箱包装，，方便储运，可有效的减少外部撞击力所带来的损坏。内包装采用了加厚版珍珠棉，科学合理的填充了木箱内部空间，有效避免了产品在运输过程中的损坏。</w:t>
      </w:r>
    </w:p>
    <w:p>
      <w:pPr>
        <w:jc w:val="center"/>
      </w:pP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1" w:name="_Toc529258852"/>
      <w:bookmarkStart w:id="32" w:name="_Toc529049106"/>
      <w:r>
        <w:rPr>
          <w:rFonts w:hint="eastAsia"/>
        </w:rPr>
        <w:t>7</w:t>
      </w:r>
      <w:r>
        <w:t>.2</w:t>
      </w:r>
      <w:r>
        <w:rPr>
          <w:rFonts w:hint="eastAsia"/>
        </w:rPr>
        <w:t>储存要求</w:t>
      </w:r>
      <w:bookmarkEnd w:id="31"/>
      <w:bookmarkEnd w:id="32"/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19"/>
        <w:widowControl/>
        <w:ind w:left="780" w:firstLine="0" w:firstLineChars="0"/>
        <w:jc w:val="left"/>
        <w:rPr>
          <w:sz w:val="24"/>
        </w:rPr>
      </w:pPr>
    </w:p>
    <w:p>
      <w:pPr>
        <w:pStyle w:val="2"/>
      </w:pPr>
      <w:bookmarkStart w:id="33" w:name="_Toc529049107"/>
      <w:bookmarkStart w:id="34" w:name="_Toc529258853"/>
      <w:r>
        <w:rPr>
          <w:rFonts w:hint="eastAsia"/>
        </w:rPr>
        <w:t>装箱清单</w:t>
      </w:r>
      <w:bookmarkEnd w:id="33"/>
      <w:bookmarkEnd w:id="34"/>
    </w:p>
    <w:tbl>
      <w:tblPr>
        <w:tblStyle w:val="12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1276"/>
        <w:gridCol w:w="113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馆员工作站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19"/>
              <w:widowControl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米国标电源线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生久钥匙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9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5" w:name="_Toc529049108"/>
      <w:bookmarkStart w:id="36" w:name="_Toc529258854"/>
      <w:r>
        <w:t>售后及联系方式</w:t>
      </w:r>
      <w:bookmarkEnd w:id="35"/>
      <w:bookmarkEnd w:id="36"/>
    </w:p>
    <w:p>
      <w:pPr>
        <w:pStyle w:val="3"/>
        <w:numPr>
          <w:ilvl w:val="0"/>
          <w:numId w:val="5"/>
        </w:numPr>
      </w:pPr>
      <w:bookmarkStart w:id="37" w:name="_Toc529258855"/>
      <w:r>
        <w:rPr>
          <w:rFonts w:hint="eastAsia"/>
        </w:rPr>
        <w:t>售后服务</w:t>
      </w:r>
      <w:bookmarkEnd w:id="37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当用户使用本公司馆员工作站时遇到无法解决的问题时，请与本公司的售后部门联系。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5"/>
        </w:numPr>
      </w:pPr>
      <w:bookmarkStart w:id="38" w:name="_Toc529258856"/>
      <w:r>
        <w:rPr>
          <w:rFonts w:hint="eastAsia"/>
        </w:rPr>
        <w:t>联系方式</w:t>
      </w:r>
      <w:bookmarkEnd w:id="38"/>
    </w:p>
    <w:p>
      <w:pPr>
        <w:ind w:left="420" w:leftChars="200"/>
        <w:jc w:val="both"/>
        <w:rPr>
          <w:rFonts w:ascii="仿宋_GB2312" w:hAnsi="Arial Unicode MS" w:eastAsia="仿宋_GB2312" w:cs="Arial Unicode MS"/>
          <w:b/>
          <w:color w:val="1F4E79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技术有限公司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420" w:leftChars="200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  <w:bookmarkStart w:id="39" w:name="_GoBack"/>
      <w:bookmarkEnd w:id="39"/>
    </w:p>
    <w:p>
      <w:pPr>
        <w:ind w:left="359" w:leftChars="171"/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64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43247"/>
    <w:rsid w:val="000465E0"/>
    <w:rsid w:val="000709DC"/>
    <w:rsid w:val="00074151"/>
    <w:rsid w:val="0007639C"/>
    <w:rsid w:val="00080694"/>
    <w:rsid w:val="0008145B"/>
    <w:rsid w:val="00084138"/>
    <w:rsid w:val="00085E0F"/>
    <w:rsid w:val="00092119"/>
    <w:rsid w:val="00092128"/>
    <w:rsid w:val="00093969"/>
    <w:rsid w:val="00095FBC"/>
    <w:rsid w:val="000A02CF"/>
    <w:rsid w:val="000A5E94"/>
    <w:rsid w:val="000B5469"/>
    <w:rsid w:val="000B67D1"/>
    <w:rsid w:val="000C4051"/>
    <w:rsid w:val="000C62A0"/>
    <w:rsid w:val="000C7195"/>
    <w:rsid w:val="000C7AC7"/>
    <w:rsid w:val="000D3570"/>
    <w:rsid w:val="000D35CA"/>
    <w:rsid w:val="000D6582"/>
    <w:rsid w:val="000E0B5F"/>
    <w:rsid w:val="000E0C3E"/>
    <w:rsid w:val="000E0E08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92B26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759C7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2B3D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43E3D"/>
    <w:rsid w:val="0034516C"/>
    <w:rsid w:val="00345BC3"/>
    <w:rsid w:val="003461FB"/>
    <w:rsid w:val="0035087D"/>
    <w:rsid w:val="00353C89"/>
    <w:rsid w:val="003703D8"/>
    <w:rsid w:val="00374813"/>
    <w:rsid w:val="003748B2"/>
    <w:rsid w:val="00384F5F"/>
    <w:rsid w:val="00385487"/>
    <w:rsid w:val="003878BD"/>
    <w:rsid w:val="003908D4"/>
    <w:rsid w:val="0039233B"/>
    <w:rsid w:val="00394047"/>
    <w:rsid w:val="00394F66"/>
    <w:rsid w:val="00395CEB"/>
    <w:rsid w:val="003A5C16"/>
    <w:rsid w:val="003B46D6"/>
    <w:rsid w:val="003B6F51"/>
    <w:rsid w:val="003C30CB"/>
    <w:rsid w:val="003C499F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5984"/>
    <w:rsid w:val="003F784B"/>
    <w:rsid w:val="00407E61"/>
    <w:rsid w:val="004157C2"/>
    <w:rsid w:val="0041775B"/>
    <w:rsid w:val="00421D37"/>
    <w:rsid w:val="004254C4"/>
    <w:rsid w:val="00430842"/>
    <w:rsid w:val="00434188"/>
    <w:rsid w:val="004353F8"/>
    <w:rsid w:val="004415EA"/>
    <w:rsid w:val="004429DE"/>
    <w:rsid w:val="00444BFF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77F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34C1"/>
    <w:rsid w:val="004C4292"/>
    <w:rsid w:val="004D2EBC"/>
    <w:rsid w:val="004D50D9"/>
    <w:rsid w:val="004E04F8"/>
    <w:rsid w:val="004E3E02"/>
    <w:rsid w:val="004E658D"/>
    <w:rsid w:val="004F2121"/>
    <w:rsid w:val="004F2A86"/>
    <w:rsid w:val="004F314C"/>
    <w:rsid w:val="004F4F1F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26DBC"/>
    <w:rsid w:val="00532ABC"/>
    <w:rsid w:val="005356B9"/>
    <w:rsid w:val="0053755A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73FCE"/>
    <w:rsid w:val="0058501B"/>
    <w:rsid w:val="00585A16"/>
    <w:rsid w:val="00585BB5"/>
    <w:rsid w:val="00586458"/>
    <w:rsid w:val="00594186"/>
    <w:rsid w:val="005A3F6A"/>
    <w:rsid w:val="005B3500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22A9B"/>
    <w:rsid w:val="00625624"/>
    <w:rsid w:val="006265E5"/>
    <w:rsid w:val="006343FD"/>
    <w:rsid w:val="00643000"/>
    <w:rsid w:val="00643623"/>
    <w:rsid w:val="0064554F"/>
    <w:rsid w:val="006472A4"/>
    <w:rsid w:val="0065299A"/>
    <w:rsid w:val="00654C02"/>
    <w:rsid w:val="00655067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D7FDA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CCA"/>
    <w:rsid w:val="00720F79"/>
    <w:rsid w:val="007218E6"/>
    <w:rsid w:val="0072310F"/>
    <w:rsid w:val="00725924"/>
    <w:rsid w:val="00740643"/>
    <w:rsid w:val="00743B90"/>
    <w:rsid w:val="00744785"/>
    <w:rsid w:val="00751E56"/>
    <w:rsid w:val="00754EC9"/>
    <w:rsid w:val="0075622A"/>
    <w:rsid w:val="0075679F"/>
    <w:rsid w:val="0076132F"/>
    <w:rsid w:val="00765012"/>
    <w:rsid w:val="00770F3B"/>
    <w:rsid w:val="00771975"/>
    <w:rsid w:val="007747AB"/>
    <w:rsid w:val="00774BCA"/>
    <w:rsid w:val="00776FAC"/>
    <w:rsid w:val="0078139F"/>
    <w:rsid w:val="00782DBA"/>
    <w:rsid w:val="00783BC9"/>
    <w:rsid w:val="00792E5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D5906"/>
    <w:rsid w:val="007E7A7C"/>
    <w:rsid w:val="007F40C9"/>
    <w:rsid w:val="008029DA"/>
    <w:rsid w:val="00820C66"/>
    <w:rsid w:val="008268A6"/>
    <w:rsid w:val="008323CF"/>
    <w:rsid w:val="00832A7F"/>
    <w:rsid w:val="00834A3C"/>
    <w:rsid w:val="00836A50"/>
    <w:rsid w:val="00836C46"/>
    <w:rsid w:val="00845A8A"/>
    <w:rsid w:val="0084616C"/>
    <w:rsid w:val="008470A2"/>
    <w:rsid w:val="00852CB4"/>
    <w:rsid w:val="0086236B"/>
    <w:rsid w:val="00864D48"/>
    <w:rsid w:val="008704BB"/>
    <w:rsid w:val="0088127D"/>
    <w:rsid w:val="00885534"/>
    <w:rsid w:val="0089067A"/>
    <w:rsid w:val="00891600"/>
    <w:rsid w:val="00896A5E"/>
    <w:rsid w:val="008A5300"/>
    <w:rsid w:val="008A7702"/>
    <w:rsid w:val="008B1ABD"/>
    <w:rsid w:val="008B24F8"/>
    <w:rsid w:val="008B27D3"/>
    <w:rsid w:val="008B37BC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444B4"/>
    <w:rsid w:val="00951C70"/>
    <w:rsid w:val="00956745"/>
    <w:rsid w:val="00956F6D"/>
    <w:rsid w:val="009651A8"/>
    <w:rsid w:val="0096653E"/>
    <w:rsid w:val="009671AD"/>
    <w:rsid w:val="0097557F"/>
    <w:rsid w:val="00986A00"/>
    <w:rsid w:val="00986C29"/>
    <w:rsid w:val="009878B8"/>
    <w:rsid w:val="009914F4"/>
    <w:rsid w:val="009B2918"/>
    <w:rsid w:val="009B354D"/>
    <w:rsid w:val="009B47A0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949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1397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60C0"/>
    <w:rsid w:val="00B86C02"/>
    <w:rsid w:val="00B90867"/>
    <w:rsid w:val="00B937F0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0B4D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5F3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71872"/>
    <w:rsid w:val="00D71D98"/>
    <w:rsid w:val="00D71F87"/>
    <w:rsid w:val="00D7370F"/>
    <w:rsid w:val="00D76124"/>
    <w:rsid w:val="00D824C5"/>
    <w:rsid w:val="00D85672"/>
    <w:rsid w:val="00D86F64"/>
    <w:rsid w:val="00D870A2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3153"/>
    <w:rsid w:val="00EC4741"/>
    <w:rsid w:val="00EC797B"/>
    <w:rsid w:val="00ED2702"/>
    <w:rsid w:val="00ED3A1B"/>
    <w:rsid w:val="00ED4909"/>
    <w:rsid w:val="00ED662B"/>
    <w:rsid w:val="00ED7D29"/>
    <w:rsid w:val="00EE305E"/>
    <w:rsid w:val="00EE3D6E"/>
    <w:rsid w:val="00EF2365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2D03"/>
    <w:rsid w:val="00F72F5C"/>
    <w:rsid w:val="00F74538"/>
    <w:rsid w:val="00F7642A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F4F"/>
    <w:rsid w:val="00FB75A2"/>
    <w:rsid w:val="00FB78BC"/>
    <w:rsid w:val="00FC7F64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1AC667EA"/>
    <w:rsid w:val="27E621B2"/>
    <w:rsid w:val="41C611F2"/>
    <w:rsid w:val="43DD217C"/>
    <w:rsid w:val="46A04560"/>
    <w:rsid w:val="4D210CCF"/>
    <w:rsid w:val="508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qFormat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1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4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2 字符"/>
    <w:basedOn w:val="14"/>
    <w:link w:val="3"/>
    <w:qFormat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2">
    <w:name w:val="标题 1 字符"/>
    <w:basedOn w:val="14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4">
    <w:name w:val="批注框文本 字符"/>
    <w:basedOn w:val="14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5DAED-2130-44D2-9D76-C33B1D23C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384</Words>
  <Characters>2192</Characters>
  <Lines>18</Lines>
  <Paragraphs>5</Paragraphs>
  <TotalTime>0</TotalTime>
  <ScaleCrop>false</ScaleCrop>
  <LinksUpToDate>false</LinksUpToDate>
  <CharactersWithSpaces>2571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2019-04-08T14:33:00Z</dcterms:created>
  <dc:creator>Hetais</dc:creator>
  <cp:lastModifiedBy>彭晓舟</cp:lastModifiedBy>
  <dcterms:modified xsi:type="dcterms:W3CDTF">2020-10-12T06:36:54Z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