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36"/>
                <w:sz w:val="28"/>
                <w:szCs w:val="28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36"/>
                <w:sz w:val="44"/>
                <w:szCs w:val="44"/>
              </w:rPr>
              <w:t>物流仓储管理标签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LA-7423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070735" cy="1856105"/>
                  <wp:effectExtent l="0" t="0" r="5715" b="1079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4"/>
          <w:szCs w:val="24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产品特性：</w:t>
      </w:r>
    </w:p>
    <w:p>
      <w:pPr>
        <w:widowControl/>
        <w:ind w:leftChars="300"/>
        <w:jc w:val="left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1、多标签识别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识别灵敏度高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、防伪性能高，拥有合球唯一识别码（TID码）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、可应用于各行各业，提高生产效率、管理效率、防伪防串货等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</w:pPr>
    </w:p>
    <w:tbl>
      <w:tblPr>
        <w:tblStyle w:val="7"/>
        <w:tblW w:w="10118" w:type="dxa"/>
        <w:jc w:val="center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7734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基本参数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型号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LA-7423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超高频无源电子标签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频率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860~960MHz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标准/协议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EPC CLASS1 GEN2, ISO 18000-6C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 物理参数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尺寸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74*23mm(可定制)   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Inlay材质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PET+AL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封装材质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铜板纸 / PET / PVC / 热敏纸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 性能参数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容量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t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芯片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Alien Higgs-3、Higgs-4 / IMPINJ  Monza 4、Monza 5 / NXP （根据客户要求）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工作模式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读/写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读取距离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8M(与读写器性能及工作环境有关)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存储温度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 具体应用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航空、物流、仓储、零售、服装、医疗、防伪等   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18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包装和交付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38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包装信息</w:t>
            </w:r>
          </w:p>
        </w:tc>
        <w:tc>
          <w:tcPr>
            <w:tcW w:w="7734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2000张/卷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17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17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auto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auto"/>
          <w:sz w:val="17"/>
          <w:lang w:eastAsia="zh-CN"/>
        </w:rPr>
        <w:tab/>
      </w:r>
    </w:p>
    <w:p>
      <w:pPr>
        <w:pStyle w:val="3"/>
        <w:tabs>
          <w:tab w:val="left" w:pos="1255"/>
        </w:tabs>
        <w:rPr>
          <w:rFonts w:hint="eastAsia" w:ascii="微软雅黑" w:hAnsi="微软雅黑" w:eastAsia="微软雅黑" w:cs="微软雅黑"/>
          <w:color w:val="auto"/>
          <w:sz w:val="17"/>
          <w:lang w:eastAsia="zh-CN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1F56"/>
    <w:rsid w:val="00F679A4"/>
    <w:rsid w:val="02D72928"/>
    <w:rsid w:val="089403D7"/>
    <w:rsid w:val="09550008"/>
    <w:rsid w:val="0B520509"/>
    <w:rsid w:val="0BB126C2"/>
    <w:rsid w:val="0FB73EBD"/>
    <w:rsid w:val="103339CF"/>
    <w:rsid w:val="150250A7"/>
    <w:rsid w:val="16805B09"/>
    <w:rsid w:val="18F95667"/>
    <w:rsid w:val="25356D6F"/>
    <w:rsid w:val="25544303"/>
    <w:rsid w:val="26216889"/>
    <w:rsid w:val="29AE3FC0"/>
    <w:rsid w:val="2F19080D"/>
    <w:rsid w:val="32DF0DC2"/>
    <w:rsid w:val="35C21ECF"/>
    <w:rsid w:val="37847870"/>
    <w:rsid w:val="38543869"/>
    <w:rsid w:val="3A336937"/>
    <w:rsid w:val="3E864FE0"/>
    <w:rsid w:val="422C2067"/>
    <w:rsid w:val="43264433"/>
    <w:rsid w:val="43C677F1"/>
    <w:rsid w:val="45776CB1"/>
    <w:rsid w:val="4BAB2B32"/>
    <w:rsid w:val="4DB50956"/>
    <w:rsid w:val="525B5F30"/>
    <w:rsid w:val="53954C4F"/>
    <w:rsid w:val="56381917"/>
    <w:rsid w:val="564A6A18"/>
    <w:rsid w:val="59B2381B"/>
    <w:rsid w:val="59BA57F0"/>
    <w:rsid w:val="5CE278EF"/>
    <w:rsid w:val="5DB8409C"/>
    <w:rsid w:val="652619AF"/>
    <w:rsid w:val="681505E7"/>
    <w:rsid w:val="69435636"/>
    <w:rsid w:val="6C715F78"/>
    <w:rsid w:val="6F115557"/>
    <w:rsid w:val="76966DDA"/>
    <w:rsid w:val="7AA34C51"/>
    <w:rsid w:val="7CE96CC2"/>
    <w:rsid w:val="7DA30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