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widowControl/>
              <w:spacing w:after="100" w:line="210" w:lineRule="atLeast"/>
              <w:jc w:val="both"/>
              <w:outlineLvl w:val="0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36"/>
                <w:sz w:val="44"/>
                <w:szCs w:val="44"/>
              </w:rPr>
            </w:pPr>
          </w:p>
          <w:p>
            <w:pPr>
              <w:widowControl/>
              <w:spacing w:after="100" w:line="210" w:lineRule="atLeast"/>
              <w:ind w:leftChars="100"/>
              <w:jc w:val="both"/>
              <w:outlineLvl w:val="0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36"/>
                <w:sz w:val="44"/>
                <w:szCs w:val="44"/>
              </w:rPr>
              <w:t>光盘电子标签</w:t>
            </w:r>
          </w:p>
          <w:p>
            <w:pPr>
              <w:pStyle w:val="3"/>
              <w:shd w:val="clear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  <w:t>LA-16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003425" cy="2052955"/>
                  <wp:effectExtent l="0" t="0" r="15875" b="444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25" cy="205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多标签识别，高灵敏度，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适应全球频段工作设定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针对常规光盘结构设计的标签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;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广泛应用于出版社、图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书馆、数据库房、机密档案等管理领域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;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pStyle w:val="3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10755" w:type="dxa"/>
        <w:jc w:val="center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5"/>
        <w:gridCol w:w="7450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0755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基本参数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型号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LA-16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类型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超高频无源电子标签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频率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860~960MHz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标准/协议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EPC CLASS1 GEN2, ISO 18000-6C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5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· 物理参数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尺寸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35*35mm(可定制)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Inlay材质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PET+AL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封装材质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铜板纸 / PET 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5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· 性能参数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容量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可扩展至512bit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芯片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Alien Higgs-3、Higgs-4 / IMPINJ Monza 4、Monza 5 / NXP （根据客户要求）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工作模式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读/写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读取距离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0~1M(与读写器性能及工作环境有关)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5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· 环境参数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工作温度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存储温度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5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· 具体应用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应用领域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光盘库、数据库、出版社等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5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· 包装和交付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包装信息</w:t>
            </w:r>
          </w:p>
        </w:tc>
        <w:tc>
          <w:tcPr>
            <w:tcW w:w="74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2000张/卷可定制）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D0E8"/>
    <w:multiLevelType w:val="singleLevel"/>
    <w:tmpl w:val="61C5D0E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572A9"/>
    <w:rsid w:val="062337D3"/>
    <w:rsid w:val="080A4332"/>
    <w:rsid w:val="09550008"/>
    <w:rsid w:val="0BB126C2"/>
    <w:rsid w:val="150250A7"/>
    <w:rsid w:val="251D7D2F"/>
    <w:rsid w:val="26216889"/>
    <w:rsid w:val="29AE3FC0"/>
    <w:rsid w:val="2FE11BFC"/>
    <w:rsid w:val="4CE04B86"/>
    <w:rsid w:val="4D5320EB"/>
    <w:rsid w:val="4DB50956"/>
    <w:rsid w:val="525B5F30"/>
    <w:rsid w:val="5983332F"/>
    <w:rsid w:val="59B2381B"/>
    <w:rsid w:val="652619AF"/>
    <w:rsid w:val="6A7D0A11"/>
    <w:rsid w:val="70BF45D6"/>
    <w:rsid w:val="75E634DC"/>
    <w:rsid w:val="7CD80883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