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579" w:tblpY="2034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wordWrap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</w:p>
          <w:p>
            <w:pPr>
              <w:wordWrap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超高频小型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抗金属标签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VT-94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528570" cy="1685925"/>
                  <wp:effectExtent l="0" t="0" r="5080" b="9525"/>
                  <wp:docPr id="1" name="图片 1" descr="2e5d9b04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e5d9b04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7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6"/>
        <w:keepNext w:val="0"/>
        <w:keepLines w:val="0"/>
        <w:widowControl/>
        <w:suppressLineNumbers w:val="0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该款标签是用一种特殊的材料封装成的电子标签，从技术上解决了电子标签不能附着于金属表面使用的难题，产品可防水、防酸、防碱、防碰撞，可在户外使用。将抗金属电子标签贴在金属上能获得良好的读取性能。同时符合EPC C1G2（ISO 18000-6C）标准，工作频率为860MHz~960MHz，可在全球范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围内使用，其中RFID的芯片将存储唯一标识以及其他更新信息。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620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08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7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EPC内存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96 bits to 480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用户区内存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2m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FR4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3M背胶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定制化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激光刻印、写码等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</w:rPr>
              <w:t>36*13*2.7mm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（可进行定制尺寸）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金属模具，医疗器械，机械设备，仓储货架，集装箱等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24A7"/>
    <w:rsid w:val="09550008"/>
    <w:rsid w:val="0BB126C2"/>
    <w:rsid w:val="102F4E8F"/>
    <w:rsid w:val="150250A7"/>
    <w:rsid w:val="26216889"/>
    <w:rsid w:val="29AE3FC0"/>
    <w:rsid w:val="47404354"/>
    <w:rsid w:val="4DB50956"/>
    <w:rsid w:val="51555B2D"/>
    <w:rsid w:val="525B5F30"/>
    <w:rsid w:val="59B2381B"/>
    <w:rsid w:val="652619AF"/>
    <w:rsid w:val="68AE343D"/>
    <w:rsid w:val="71AB7D66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  <w:rPr>
      <w:color w:val="64A0BC"/>
      <w:u w:val="none"/>
    </w:rPr>
  </w:style>
  <w:style w:type="character" w:styleId="13">
    <w:name w:val="Hyperlink"/>
    <w:basedOn w:val="9"/>
    <w:qFormat/>
    <w:uiPriority w:val="0"/>
    <w:rPr>
      <w:color w:val="444444"/>
      <w:u w:val="non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