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UHF 超高频</w:t>
            </w:r>
          </w:p>
          <w:p>
            <w:pPr>
              <w:pStyle w:val="3"/>
              <w:shd w:val="clear"/>
              <w:jc w:val="left"/>
              <w:rPr>
                <w:rFonts w:hint="default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读写模块</w:t>
            </w:r>
          </w:p>
          <w:p>
            <w:pPr>
              <w:pStyle w:val="3"/>
              <w:shd w:val="clear"/>
              <w:jc w:val="left"/>
              <w:rPr>
                <w:rFonts w:hint="default" w:eastAsia="微软雅黑"/>
                <w:b/>
                <w:bCs/>
                <w:color w:val="D70C19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  <w:t>VM-5S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705485</wp:posOffset>
                  </wp:positionH>
                  <wp:positionV relativeFrom="paragraph">
                    <wp:posOffset>159385</wp:posOffset>
                  </wp:positionV>
                  <wp:extent cx="1831340" cy="1358265"/>
                  <wp:effectExtent l="0" t="0" r="16510" b="13335"/>
                  <wp:wrapTight wrapText="bothSides">
                    <wp:wrapPolygon>
                      <wp:start x="0" y="0"/>
                      <wp:lineTo x="0" y="21206"/>
                      <wp:lineTo x="21345" y="21206"/>
                      <wp:lineTo x="21345" y="0"/>
                      <wp:lineTo x="0" y="0"/>
                    </wp:wrapPolygon>
                  </wp:wrapTight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0" cy="135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</w:p>
    <w:p>
      <w:pPr>
        <w:rPr>
          <w:rFonts w:hint="eastAsia" w:ascii="微软雅黑" w:hAnsi="微软雅黑" w:eastAsia="微软雅黑" w:cs="微软雅黑"/>
          <w:b/>
          <w:color w:val="FFFFFF"/>
          <w:sz w:val="24"/>
          <w:szCs w:val="24"/>
          <w:shd w:val="clear" w:color="auto" w:fill="000000"/>
        </w:rPr>
      </w:pPr>
      <w:r>
        <w:rPr>
          <w:rFonts w:hint="eastAsia" w:ascii="微软雅黑" w:hAnsi="微软雅黑" w:eastAsia="微软雅黑" w:cs="微软雅黑"/>
          <w:b/>
          <w:color w:val="FFFFFF"/>
          <w:sz w:val="24"/>
          <w:szCs w:val="24"/>
          <w:shd w:val="clear" w:color="auto" w:fill="000000"/>
        </w:rPr>
        <w:t>产品特性</w:t>
      </w:r>
    </w:p>
    <w:p>
      <w:pPr>
        <w:widowControl/>
        <w:numPr>
          <w:ilvl w:val="0"/>
          <w:numId w:val="1"/>
        </w:numPr>
        <w:spacing w:line="270" w:lineRule="atLeast"/>
        <w:ind w:left="845" w:leftChars="0" w:right="0" w:rightChars="0" w:hanging="425" w:firstLineChars="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使用业内极具性价比的韩国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PR9</w:t>
      </w:r>
      <w:bookmarkStart w:id="0" w:name="_GoBack"/>
      <w:bookmarkEnd w:id="0"/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200芯片，输出功率达到27dBm;</w:t>
      </w:r>
    </w:p>
    <w:p>
      <w:pPr>
        <w:widowControl/>
        <w:numPr>
          <w:ilvl w:val="0"/>
          <w:numId w:val="1"/>
        </w:numPr>
        <w:spacing w:line="270" w:lineRule="atLeast"/>
        <w:ind w:left="845" w:leftChars="0" w:right="0" w:rightChars="0" w:hanging="425" w:firstLineChars="0"/>
        <w:jc w:val="left"/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超低功耗，宽温度设计；</w:t>
      </w:r>
    </w:p>
    <w:p>
      <w:pPr>
        <w:widowControl/>
        <w:numPr>
          <w:ilvl w:val="0"/>
          <w:numId w:val="1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支持符合</w:t>
      </w:r>
      <w:r>
        <w:rPr>
          <w:rFonts w:hint="eastAsia" w:ascii="微软雅黑" w:hAnsi="微软雅黑" w:eastAsia="微软雅黑" w:cs="微软雅黑"/>
          <w:sz w:val="21"/>
          <w:szCs w:val="21"/>
        </w:rPr>
        <w:t>ISO-18000-6C（EPC G2）协议标准；</w:t>
      </w:r>
    </w:p>
    <w:p>
      <w:pPr>
        <w:widowControl/>
        <w:numPr>
          <w:ilvl w:val="0"/>
          <w:numId w:val="1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工作频率865-868MHZ，902-928MHZ(可按不同的国家或地区要求调整)；</w:t>
      </w:r>
    </w:p>
    <w:p>
      <w:pPr>
        <w:widowControl/>
        <w:numPr>
          <w:ilvl w:val="0"/>
          <w:numId w:val="1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配置2dbi体积为40*40mm陶瓷天线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识读距离可以达到2米以上，是应用RFID读写器开发应用集成最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佳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选择；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en-US" w:bidi="en-US"/>
        </w:rPr>
        <w:t>应用于超高频手持机、平板、发卡器、一体机以及需要嵌入小型超高频模块的打印终端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en-US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</w:rPr>
        <w:t>模块体积小、功耗低，是嵌入式RFID读写器的优先选择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；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rPr>
          <w:rFonts w:hint="eastAsia" w:ascii="微软雅黑" w:hAnsi="微软雅黑" w:eastAsia="微软雅黑" w:cs="微软雅黑"/>
          <w:b/>
          <w:color w:val="FFFFFF"/>
          <w:sz w:val="24"/>
          <w:szCs w:val="24"/>
          <w:shd w:val="clear" w:color="auto" w:fill="000000"/>
        </w:rPr>
      </w:pPr>
      <w:r>
        <w:rPr>
          <w:rFonts w:hint="eastAsia" w:ascii="微软雅黑" w:hAnsi="微软雅黑" w:eastAsia="微软雅黑" w:cs="微软雅黑"/>
          <w:b/>
          <w:color w:val="FFFFFF"/>
          <w:sz w:val="24"/>
          <w:szCs w:val="24"/>
          <w:shd w:val="clear" w:color="auto" w:fill="000000"/>
        </w:rPr>
        <w:t>规格参数</w:t>
      </w:r>
    </w:p>
    <w:tbl>
      <w:tblPr>
        <w:tblStyle w:val="7"/>
        <w:tblpPr w:leftFromText="180" w:rightFromText="180" w:vertAnchor="text" w:horzAnchor="page" w:tblpX="1063" w:tblpY="210"/>
        <w:tblOverlap w:val="never"/>
        <w:tblW w:w="10125" w:type="dxa"/>
        <w:tblInd w:w="0" w:type="dxa"/>
        <w:tblBorders>
          <w:top w:val="single" w:color="7E7E7E" w:themeColor="background1" w:themeShade="7F" w:sz="6" w:space="0"/>
          <w:left w:val="single" w:color="7E7E7E" w:themeColor="background1" w:themeShade="7F" w:sz="6" w:space="0"/>
          <w:bottom w:val="single" w:color="7E7E7E" w:themeColor="background1" w:themeShade="7F" w:sz="6" w:space="0"/>
          <w:right w:val="single" w:color="7E7E7E" w:themeColor="background1" w:themeShade="7F" w:sz="6" w:space="0"/>
          <w:insideH w:val="single" w:color="7E7E7E" w:themeColor="background1" w:themeShade="7F" w:sz="6" w:space="0"/>
          <w:insideV w:val="single" w:color="7E7E7E" w:themeColor="background1" w:themeShade="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8"/>
        <w:gridCol w:w="7387"/>
      </w:tblGrid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738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规格描述</w:t>
            </w:r>
          </w:p>
        </w:tc>
        <w:tc>
          <w:tcPr>
            <w:tcW w:w="7387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sz w:val="21"/>
                <w:szCs w:val="21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67945</wp:posOffset>
                      </wp:positionV>
                      <wp:extent cx="227965" cy="99060"/>
                      <wp:effectExtent l="0" t="0" r="635" b="15240"/>
                      <wp:wrapNone/>
                      <wp:docPr id="6" name="流程图: 合并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99060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28" type="#_x0000_t128" style="position:absolute;left:0pt;margin-left:-0.6pt;margin-top:5.35pt;height:7.8pt;width:17.95pt;z-index:251658240;mso-width-relative:page;mso-height-relative:page;" fillcolor="#FFFFFF" filled="t" stroked="f" coordsize="21600,21600" o:gfxdata="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Arr5/dYA&#10;AAAHAQAADwAAAAAAAAABACAAAAAiAAAAZHJzL2Rvd25yZXYueG1sUEsBAhQAFAAAAAgAh07iQOD3&#10;24WvAQAAJAMAAA4AAAAAAAAAAQAgAAAAJQEAAGRycy9lMm9Eb2MueG1sUEsFBgAAAAAGAAYAWQEA&#10;AEYFAAAAAA==&#10;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73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产品型号(订购代码)</w:t>
            </w:r>
          </w:p>
        </w:tc>
        <w:tc>
          <w:tcPr>
            <w:tcW w:w="73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VM-5</w:t>
            </w: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  <w:lang w:val="en-US" w:eastAsia="zh-CN"/>
              </w:rPr>
              <w:t>S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125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73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频率范围</w:t>
            </w:r>
          </w:p>
        </w:tc>
        <w:tc>
          <w:tcPr>
            <w:tcW w:w="73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865-868MHZ，902-928MHZ（随国家或地区不同可以调整）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73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调频方式</w:t>
            </w:r>
          </w:p>
        </w:tc>
        <w:tc>
          <w:tcPr>
            <w:tcW w:w="73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广谱调频（FHSS）或定频，可软件设置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73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射频输出</w:t>
            </w:r>
          </w:p>
        </w:tc>
        <w:tc>
          <w:tcPr>
            <w:tcW w:w="73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18-2</w:t>
            </w: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dBm可调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73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接口</w:t>
            </w:r>
          </w:p>
        </w:tc>
        <w:tc>
          <w:tcPr>
            <w:tcW w:w="73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TTL Uart接口、韦根26、韦根34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73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GPIO</w:t>
            </w:r>
          </w:p>
        </w:tc>
        <w:tc>
          <w:tcPr>
            <w:tcW w:w="73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2路输入 2路输出 (3.3V 电平)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73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通讯波特率</w:t>
            </w:r>
          </w:p>
        </w:tc>
        <w:tc>
          <w:tcPr>
            <w:tcW w:w="73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115200 bps（默认并推荐）、38400bps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7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工作区域支持</w:t>
            </w:r>
          </w:p>
        </w:tc>
        <w:tc>
          <w:tcPr>
            <w:tcW w:w="73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美国、加拿大和其它符合美国FCC认证标准的地区</w:t>
            </w:r>
          </w:p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欧盟和其它符合ETSI EN 302 208的地区</w:t>
            </w:r>
          </w:p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中国大陆、日本、韩国、马来西亚、台湾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125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标  签  操  作  性  能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73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读写距离</w:t>
            </w:r>
          </w:p>
        </w:tc>
        <w:tc>
          <w:tcPr>
            <w:tcW w:w="73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读取距离&gt;</w:t>
            </w: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50cm，写入距离&gt;20cm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73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读写时间</w:t>
            </w:r>
          </w:p>
        </w:tc>
        <w:tc>
          <w:tcPr>
            <w:tcW w:w="73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平均每单字(32bits)读取时间6ms，平均每单字(32bits)写入时间50ms；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73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空中接口协议</w:t>
            </w:r>
          </w:p>
        </w:tc>
        <w:tc>
          <w:tcPr>
            <w:tcW w:w="73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EPCglobal UHF Class 1 Gen 2/ISO-18000-6C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73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盘存标签峰值速度</w:t>
            </w:r>
          </w:p>
        </w:tc>
        <w:tc>
          <w:tcPr>
            <w:tcW w:w="73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&gt; 50张/秒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73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标签缓存区</w:t>
            </w:r>
          </w:p>
        </w:tc>
        <w:tc>
          <w:tcPr>
            <w:tcW w:w="73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200张标签 @ 96 bit EPC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73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标签RSSI</w:t>
            </w:r>
          </w:p>
        </w:tc>
        <w:tc>
          <w:tcPr>
            <w:tcW w:w="73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支持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125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机  械  电  气  性  能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73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工作电压</w:t>
            </w:r>
          </w:p>
        </w:tc>
        <w:tc>
          <w:tcPr>
            <w:tcW w:w="73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直流电3.5-5V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73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待机状态电流</w:t>
            </w:r>
          </w:p>
        </w:tc>
        <w:tc>
          <w:tcPr>
            <w:tcW w:w="73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&lt;80mA (EN 脚高电平)；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73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睡眠状态电流</w:t>
            </w:r>
          </w:p>
        </w:tc>
        <w:tc>
          <w:tcPr>
            <w:tcW w:w="73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&lt;100uA (EN 脚低电平)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7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工作电流</w:t>
            </w:r>
          </w:p>
        </w:tc>
        <w:tc>
          <w:tcPr>
            <w:tcW w:w="73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260mA @ 3.5V (26 dBm Output，25°C)</w:t>
            </w:r>
          </w:p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110mA @ 3.5V (18 dBm Output，25°C)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73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启动时间</w:t>
            </w:r>
          </w:p>
        </w:tc>
        <w:tc>
          <w:tcPr>
            <w:tcW w:w="73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&lt;100mS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73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工作温度</w:t>
            </w:r>
          </w:p>
        </w:tc>
        <w:tc>
          <w:tcPr>
            <w:tcW w:w="73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- 20 °C  -  + 70  °C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73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存储温度</w:t>
            </w:r>
          </w:p>
        </w:tc>
        <w:tc>
          <w:tcPr>
            <w:tcW w:w="73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- 20 °C  -  + 85  °C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73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散热方式</w:t>
            </w:r>
          </w:p>
        </w:tc>
        <w:tc>
          <w:tcPr>
            <w:tcW w:w="73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空气冷却(无需外置散热片）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color w:val="FFFFFF"/>
          <w:sz w:val="21"/>
          <w:szCs w:val="21"/>
          <w:shd w:val="clear" w:color="auto" w:fill="000000"/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center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="2105" w:tblpY="16057"/>
      <w:tblOverlap w:val="never"/>
      <w:tblW w:w="800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640"/>
      <w:gridCol w:w="2641"/>
      <w:gridCol w:w="2719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34" w:hRule="exact"/>
        <w:jc w:val="center"/>
      </w:trPr>
      <w:tc>
        <w:tcPr>
          <w:tcW w:w="2640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1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19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34" w:hRule="exact"/>
        <w:jc w:val="center"/>
      </w:trPr>
      <w:tc>
        <w:tcPr>
          <w:tcW w:w="2640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641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19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42" w:hRule="exact"/>
        <w:jc w:val="center"/>
      </w:trPr>
      <w:tc>
        <w:tcPr>
          <w:tcW w:w="2640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360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3BA7D8"/>
    <w:multiLevelType w:val="singleLevel"/>
    <w:tmpl w:val="C93BA7D8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AF07B11"/>
    <w:rsid w:val="0BB126C2"/>
    <w:rsid w:val="150250A7"/>
    <w:rsid w:val="26216889"/>
    <w:rsid w:val="27F1377A"/>
    <w:rsid w:val="28B34863"/>
    <w:rsid w:val="29AE3FC0"/>
    <w:rsid w:val="29EC7D45"/>
    <w:rsid w:val="2C5C2766"/>
    <w:rsid w:val="311E7D0B"/>
    <w:rsid w:val="33FB4A54"/>
    <w:rsid w:val="355B5EEE"/>
    <w:rsid w:val="415C3F69"/>
    <w:rsid w:val="4DB50956"/>
    <w:rsid w:val="525B5F30"/>
    <w:rsid w:val="54E23A41"/>
    <w:rsid w:val="57D76849"/>
    <w:rsid w:val="59B2381B"/>
    <w:rsid w:val="652619AF"/>
    <w:rsid w:val="7CB23FD1"/>
    <w:rsid w:val="7CE96CC2"/>
    <w:rsid w:val="7E2B3A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character" w:styleId="11">
    <w:name w:val="FollowedHyperlink"/>
    <w:basedOn w:val="9"/>
    <w:uiPriority w:val="0"/>
    <w:rPr>
      <w:color w:val="333333"/>
      <w:u w:val="none"/>
    </w:rPr>
  </w:style>
  <w:style w:type="character" w:styleId="12">
    <w:name w:val="Hyperlink"/>
    <w:basedOn w:val="9"/>
    <w:uiPriority w:val="0"/>
    <w:rPr>
      <w:color w:val="333333"/>
      <w:u w:val="none"/>
    </w:rPr>
  </w:style>
  <w:style w:type="table" w:customStyle="1" w:styleId="13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rPr>
      <w:lang w:val="en-US" w:eastAsia="en-US" w:bidi="en-US"/>
    </w:rPr>
  </w:style>
  <w:style w:type="paragraph" w:customStyle="1" w:styleId="15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2020-06-29T04:03:40Z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