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  <w:t>一、图书馆自助借还机V-BOOK 99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66675</wp:posOffset>
            </wp:positionV>
            <wp:extent cx="2544445" cy="3392805"/>
            <wp:effectExtent l="0" t="0" r="8255" b="17145"/>
            <wp:wrapSquare wrapText="bothSides"/>
            <wp:docPr id="1" name="图片 1" descr="IMG_20160929_1326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60929_13264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sz w:val="18"/>
          <w:szCs w:val="1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eastAsia="zh-CN"/>
        </w:rPr>
        <w:t>万全智能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图书自助借还书机分高频（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V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-HF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BOOK99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）和超高频（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V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-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U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HF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BOOK99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）两种，具备借书，还书，查询和续借功能，还支持多类型的读者卡，如一维码、二维码、二代身份证、IC卡、ID卡等等。本系统采用了严格的安全标签读写设计，让系统更加的稳定、可靠，在借还过程中杜绝出现误读、漏读等现象，极大的提高了图书借还的可靠性与安全性，适用于广大市级图书馆、县级图书馆以及学校、企事业单位等专业图书馆。</w:t>
      </w:r>
      <w:bookmarkStart w:id="0" w:name="pro_11"/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"http://www.bc863.com/tsgznfz/2015-03/16/"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single" w:color="0375AB" w:sz="36" w:space="0"/>
          <w:bottom w:val="none" w:color="auto" w:sz="0" w:space="0"/>
          <w:right w:val="none" w:color="auto" w:sz="0" w:space="0"/>
        </w:pBdr>
        <w:shd w:val="clear" w:fill="ECE8E9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225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ECE8E9"/>
          <w:lang w:val="en-US" w:eastAsia="zh-CN" w:bidi="ar"/>
        </w:rPr>
        <w:t>应用场合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1.学校图书馆、阅览室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2.政府部门阅览室、展厅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3.高档娱乐休闲场所阅读区</w:t>
      </w:r>
      <w:bookmarkStart w:id="1" w:name="pro_55"/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"http://www.bc863.com/tsgznfz/2015-03/16/" </w:instrTex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bookmarkEnd w:id="1"/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bookmarkStart w:id="2" w:name="pro_22"/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"http://www.bc863.com/tsgznfz/2015-03/16/" </w:instrTex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bookmarkEnd w:id="2"/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single" w:color="0375AB" w:sz="36" w:space="0"/>
          <w:bottom w:val="none" w:color="auto" w:sz="0" w:space="0"/>
          <w:right w:val="none" w:color="auto" w:sz="0" w:space="0"/>
        </w:pBdr>
        <w:shd w:val="clear" w:fill="ECE8E9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225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ECE8E9"/>
          <w:lang w:val="en-US" w:eastAsia="zh-CN" w:bidi="ar"/>
        </w:rPr>
        <w:t>使用方法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读者借书：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在自助借还机上刷卡，完成身份验证，将多本图书放置在图书扫描区域，确认后即可完成借阅。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读者还书：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只需将多本图书放置在扫描区域，确认后即可完成归还。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>并具有提供凭条打印、设置读者登录密码等功能。</w:t>
      </w:r>
      <w:bookmarkStart w:id="3" w:name="pro_33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"http://www.bc863.com/tsgznfz/2015-03/16/" </w:instrTex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bookmarkEnd w:id="3"/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single" w:color="0375AB" w:sz="36" w:space="0"/>
          <w:bottom w:val="none" w:color="auto" w:sz="0" w:space="0"/>
          <w:right w:val="none" w:color="auto" w:sz="0" w:space="0"/>
        </w:pBdr>
        <w:shd w:val="clear" w:fill="ECE8E9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firstLine="225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fill="ECE8E9"/>
          <w:lang w:val="en-US" w:eastAsia="zh-CN" w:bidi="ar"/>
        </w:rPr>
        <w:t>二、产品详情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2.1、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功能细节图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2.1.1、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密码设置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rPr>
          <w:rFonts w:hint="eastAsia"/>
        </w:rPr>
      </w:pPr>
      <w:r>
        <w:drawing>
          <wp:inline distT="0" distB="0" distL="114300" distR="114300">
            <wp:extent cx="2686050" cy="174307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安全可靠更加保密，再也不用担心自己的卡被冒用。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2.1.2、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多元化扫描系统</w:t>
      </w:r>
    </w:p>
    <w:p>
      <w:pPr>
        <w:rPr>
          <w:rFonts w:hint="eastAsia"/>
        </w:rPr>
      </w:pPr>
      <w:r>
        <w:drawing>
          <wp:inline distT="0" distB="0" distL="114300" distR="114300">
            <wp:extent cx="2758440" cy="1972310"/>
            <wp:effectExtent l="0" t="0" r="381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支持多种读者证卡类型：二代证、IC卡、ID卡等，组合方案随你定！设计了直观明了的扫描区域。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2.1.3、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打印凭条功能</w:t>
      </w:r>
    </w:p>
    <w:p>
      <w:pPr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drawing>
          <wp:inline distT="0" distB="0" distL="114300" distR="114300">
            <wp:extent cx="2541905" cy="1854200"/>
            <wp:effectExtent l="0" t="0" r="10795" b="1270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可打印读者姓名、交易类型、交易数量以及交易时间等等。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 w:hanging="360"/>
        <w:textAlignment w:val="auto"/>
        <w:rPr>
          <w:rFonts w:hint="eastAsia" w:ascii="宋体" w:hAnsi="宋体" w:eastAsia="宋体" w:cs="宋体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2.1.4、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标签读写设计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  <w:lang w:val="en-US" w:eastAsia="zh-CN"/>
        </w:rPr>
        <w:t> 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rPr>
          <w:rFonts w:hint="eastAsia"/>
        </w:rPr>
      </w:pPr>
      <w:r>
        <w:drawing>
          <wp:inline distT="0" distB="0" distL="114300" distR="114300">
            <wp:extent cx="2885440" cy="2038350"/>
            <wp:effectExtent l="0" t="0" r="1016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严格的安全标签读写设计，让系统更加的稳定可靠，在借还过程中杜绝出现误读、漏读等现象。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2.2、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产品优势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226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2.2.1、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用户体验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226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精美的外观设计，人性化的功能布局。符合人体工程学设计，操作简单易用。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226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2.2.2、</w:t>
      </w:r>
      <w:r>
        <w:rPr>
          <w:rFonts w:hint="eastAsia" w:ascii="宋体" w:hAnsi="宋体" w:eastAsia="宋体" w:cs="宋体"/>
          <w:color w:val="auto"/>
          <w:shd w:val="clear" w:fill="FFFFFF"/>
        </w:rPr>
        <w:t>界面设计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226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采用的是当今流行的win8系统界面风格，不仅美观大方且具有人性化，易操作。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376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val="en-US" w:eastAsia="zh-CN"/>
        </w:rPr>
        <w:t>2.2.3、</w:t>
      </w:r>
      <w:r>
        <w:rPr>
          <w:rFonts w:hint="eastAsia" w:ascii="宋体" w:hAnsi="宋体" w:eastAsia="宋体" w:cs="宋体"/>
          <w:color w:val="auto"/>
          <w:shd w:val="clear" w:fill="FFFFFF"/>
        </w:rPr>
        <w:t>免费上门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376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fill="FFFFFF"/>
        </w:rPr>
        <w:t>提供优质的免费上门服务，安装、培训，让您轻轻松松一套搞定。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3" w:leftChars="-400" w:right="0" w:hanging="843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3" w:leftChars="-400" w:right="0" w:hanging="843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</w:pPr>
      <w:r>
        <w:rPr>
          <w:rFonts w:hint="eastAsia" w:cs="宋体"/>
          <w:color w:val="auto"/>
          <w:sz w:val="24"/>
          <w:szCs w:val="24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技术参数</w:t>
      </w:r>
    </w:p>
    <w:tbl>
      <w:tblPr>
        <w:tblStyle w:val="7"/>
        <w:tblpPr w:leftFromText="180" w:rightFromText="180" w:vertAnchor="text" w:horzAnchor="page" w:tblpX="869" w:tblpY="523"/>
        <w:tblOverlap w:val="never"/>
        <w:tblW w:w="104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8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0425" w:type="dxa"/>
            <w:gridSpan w:val="2"/>
            <w:shd w:val="clear" w:color="auto" w:fill="1F88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1F88F3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FFFF"/>
                <w:sz w:val="27"/>
                <w:szCs w:val="27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kern w:val="0"/>
                <w:sz w:val="27"/>
                <w:szCs w:val="27"/>
                <w:lang w:val="en-US" w:eastAsia="zh-CN" w:bidi="ar"/>
              </w:rPr>
              <w:t>产 品 参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显示屏</w:t>
            </w:r>
          </w:p>
        </w:tc>
        <w:tc>
          <w:tcPr>
            <w:tcW w:w="8595" w:type="dxa"/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E6E6E6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19英寸触摸屏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工作温度</w:t>
            </w:r>
          </w:p>
        </w:tc>
        <w:tc>
          <w:tcPr>
            <w:tcW w:w="8595" w:type="dxa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7F7F7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-10°C～+50°C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工作湿度</w:t>
            </w:r>
          </w:p>
        </w:tc>
        <w:tc>
          <w:tcPr>
            <w:tcW w:w="8595" w:type="dxa"/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E6E6E6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10%～85%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工作频段</w:t>
            </w:r>
          </w:p>
        </w:tc>
        <w:tc>
          <w:tcPr>
            <w:tcW w:w="8595" w:type="dxa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7F7F7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902-928MHz(超高频)</w:t>
            </w: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13.56MHz(高频)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符合标准</w:t>
            </w:r>
          </w:p>
        </w:tc>
        <w:tc>
          <w:tcPr>
            <w:tcW w:w="8595" w:type="dxa"/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E6E6E6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ISO/IEC 18000-6C(超高频)</w:t>
            </w: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ISO 15693(高频)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配套软件</w:t>
            </w:r>
          </w:p>
        </w:tc>
        <w:tc>
          <w:tcPr>
            <w:tcW w:w="8595" w:type="dxa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7F7F7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图书馆自助借还系统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通讯接口</w:t>
            </w:r>
          </w:p>
        </w:tc>
        <w:tc>
          <w:tcPr>
            <w:tcW w:w="8595" w:type="dxa"/>
            <w:shd w:val="clear" w:color="auto" w:fill="E6E6E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E6E6E6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10M/100M自适应网口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shd w:val="clear" w:color="auto" w:fill="95C7F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95C7F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电 源</w:t>
            </w:r>
          </w:p>
        </w:tc>
        <w:tc>
          <w:tcPr>
            <w:tcW w:w="8595" w:type="dxa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7F7F7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51515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15151"/>
                <w:kern w:val="0"/>
                <w:sz w:val="24"/>
                <w:szCs w:val="24"/>
                <w:lang w:val="en-US" w:eastAsia="zh-CN" w:bidi="ar"/>
              </w:rPr>
              <w:t>AC220V±10%</w:t>
            </w:r>
          </w:p>
        </w:tc>
      </w:tr>
    </w:tbl>
    <w:tbl>
      <w:tblPr>
        <w:tblStyle w:val="8"/>
        <w:tblW w:w="10455" w:type="dxa"/>
        <w:tblInd w:w="-8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7"/>
        <w:gridCol w:w="4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47" w:type="dxa"/>
            <w:tcBorders>
              <w:tl2br w:val="nil"/>
              <w:tr2bl w:val="nil"/>
            </w:tcBorders>
            <w:shd w:val="clear" w:color="auto" w:fill="C00000"/>
            <w:vAlign w:val="top"/>
          </w:tcPr>
          <w:p>
            <w:pPr>
              <w:adjustRightInd w:val="0"/>
              <w:spacing w:line="240" w:lineRule="atLeast"/>
              <w:rPr>
                <w:rFonts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了解更多详细信息请访问</w:t>
            </w:r>
          </w:p>
          <w:p>
            <w:pPr>
              <w:adjustRightInd w:val="0"/>
              <w:spacing w:line="240" w:lineRule="atLeast"/>
              <w:rPr>
                <w:rFonts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/>
                <w:b/>
                <w:color w:val="FFFFFF"/>
                <w:sz w:val="18"/>
                <w:szCs w:val="18"/>
              </w:rPr>
              <w:t>http://www.vanch.cn/</w:t>
            </w:r>
          </w:p>
          <w:p>
            <w:pPr>
              <w:adjustRightInd w:val="0"/>
              <w:spacing w:line="240" w:lineRule="atLeast"/>
              <w:rPr>
                <w:rFonts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深圳市万全智能技术有限公司</w:t>
            </w:r>
          </w:p>
          <w:p>
            <w:pPr>
              <w:adjustRightInd w:val="0"/>
              <w:spacing w:line="240" w:lineRule="atLeast"/>
              <w:rPr>
                <w:rFonts w:hint="eastAsia"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地址：深圳市龙华新区富安娜工业园B栋4楼西侧</w:t>
            </w:r>
          </w:p>
          <w:p>
            <w:pPr>
              <w:adjustRightInd w:val="0"/>
              <w:spacing w:line="240" w:lineRule="atLeast"/>
              <w:ind w:right="-25" w:rightChars="-12"/>
              <w:rPr>
                <w:rFonts w:ascii="宋体" w:hAnsi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/>
                <w:b/>
                <w:color w:val="FFFFFF"/>
                <w:sz w:val="18"/>
                <w:szCs w:val="18"/>
              </w:rPr>
              <w:t>TEL: 0755</w:t>
            </w: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color w:val="FFFFFF"/>
                <w:sz w:val="18"/>
                <w:szCs w:val="18"/>
              </w:rPr>
              <w:t>8242 6775</w:t>
            </w:r>
          </w:p>
          <w:p>
            <w:pPr>
              <w:adjustRightInd w:val="0"/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adjustRightInd w:val="0"/>
              <w:spacing w:line="240" w:lineRule="atLeas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265430</wp:posOffset>
                  </wp:positionV>
                  <wp:extent cx="2061845" cy="889000"/>
                  <wp:effectExtent l="0" t="0" r="14605" b="6350"/>
                  <wp:wrapNone/>
                  <wp:docPr id="3" name="图片 2" descr="无背景万全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无背景万全LOGO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4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bookmarkStart w:id="4" w:name="_GoBack"/>
      <w:bookmarkEnd w:id="4"/>
    </w:p>
    <w:sectPr>
      <w:headerReference r:id="rId3" w:type="default"/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 w:ascii="Verdana" w:hAnsi="Verdana"/>
        <w:b/>
        <w:bCs/>
        <w:color w:val="0072BC"/>
        <w:w w:val="102"/>
        <w:kern w:val="0"/>
        <w:position w:val="1"/>
        <w:sz w:val="40"/>
        <w:szCs w:val="4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-19050</wp:posOffset>
          </wp:positionV>
          <wp:extent cx="962025" cy="847725"/>
          <wp:effectExtent l="0" t="0" r="9525" b="9525"/>
          <wp:wrapSquare wrapText="bothSides"/>
          <wp:docPr id="2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  <w:r>
      <w:rPr>
        <w:rFonts w:hint="eastAsia" w:ascii="Verdana" w:hAnsi="Verdana"/>
        <w:b/>
        <w:bCs/>
        <w:color w:val="0072BC"/>
        <w:w w:val="102"/>
        <w:kern w:val="0"/>
        <w:position w:val="1"/>
        <w:sz w:val="40"/>
        <w:szCs w:val="40"/>
      </w:rPr>
      <w:t>V-</w:t>
    </w:r>
    <w:r>
      <w:rPr>
        <w:rFonts w:hint="eastAsia" w:ascii="Verdana" w:hAnsi="Verdana"/>
        <w:b/>
        <w:bCs/>
        <w:color w:val="0072BC"/>
        <w:w w:val="102"/>
        <w:kern w:val="0"/>
        <w:position w:val="1"/>
        <w:sz w:val="40"/>
        <w:szCs w:val="40"/>
        <w:lang w:val="en-US" w:eastAsia="zh-CN"/>
      </w:rPr>
      <w:t>B00K 99</w:t>
    </w:r>
  </w:p>
  <w:p>
    <w:pPr>
      <w:jc w:val="right"/>
      <w:rPr>
        <w:rFonts w:hint="eastAsia" w:ascii="Verdana" w:hAnsi="Verdana" w:eastAsiaTheme="minorEastAsia"/>
        <w:b/>
        <w:bCs/>
        <w:color w:val="0072BC"/>
        <w:w w:val="102"/>
        <w:kern w:val="0"/>
        <w:position w:val="1"/>
        <w:sz w:val="40"/>
        <w:szCs w:val="40"/>
        <w:lang w:eastAsia="zh-CN"/>
      </w:rPr>
    </w:pPr>
    <w:r>
      <w:rPr>
        <w:rFonts w:hint="eastAsia" w:ascii="Verdana" w:hAnsi="Verdana"/>
        <w:b/>
        <w:bCs/>
        <w:color w:val="0072BC"/>
        <w:w w:val="102"/>
        <w:kern w:val="0"/>
        <w:position w:val="1"/>
        <w:sz w:val="40"/>
        <w:szCs w:val="40"/>
        <w:lang w:eastAsia="zh-CN"/>
      </w:rPr>
      <w:t>图书馆自助借还机</w:t>
    </w:r>
  </w:p>
  <w:p>
    <w:pPr>
      <w:pStyle w:val="5"/>
      <w:tabs>
        <w:tab w:val="left" w:pos="6163"/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25DB"/>
    <w:multiLevelType w:val="multilevel"/>
    <w:tmpl w:val="580B25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7891"/>
    <w:rsid w:val="189D0E91"/>
    <w:rsid w:val="38A66AEB"/>
    <w:rsid w:val="65FD3440"/>
    <w:rsid w:val="6A2A4A48"/>
    <w:rsid w:val="79C55D6A"/>
    <w:rsid w:val="7C717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515151"/>
      <w:u w:val="none"/>
    </w:rPr>
  </w:style>
  <w:style w:type="character" w:styleId="12">
    <w:name w:val="Hyperlink"/>
    <w:basedOn w:val="9"/>
    <w:uiPriority w:val="0"/>
    <w:rPr>
      <w:color w:val="515151"/>
      <w:u w:val="none"/>
    </w:rPr>
  </w:style>
  <w:style w:type="character" w:customStyle="1" w:styleId="13">
    <w:name w:val="right4"/>
    <w:basedOn w:val="9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2016-10-22T08:37:00Z</dcterms:created>
  <dc:creator>David</dc:creator>
  <cp:lastModifiedBy>彭晓舟</cp:lastModifiedBy>
  <dcterms:modified xsi:type="dcterms:W3CDTF">2020-10-12T06:25:41Z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