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5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5280" w:type="dxa"/>
          </w:tcPr>
          <w:p>
            <w:pPr>
              <w:pStyle w:val="3"/>
              <w:ind w:leftChars="200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wordWrap/>
              <w:jc w:val="left"/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耐高温洗衣标签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VT-85E</w:t>
            </w:r>
          </w:p>
          <w:p>
            <w:pPr>
              <w:pStyle w:val="3"/>
              <w:shd w:val="clear"/>
              <w:ind w:leftChars="300"/>
              <w:jc w:val="left"/>
              <w:rPr>
                <w:rFonts w:hint="eastAsia" w:eastAsia="微软雅黑"/>
                <w:b/>
                <w:bCs/>
                <w:color w:val="D70C19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280" w:type="dxa"/>
          </w:tcPr>
          <w:p>
            <w:pPr>
              <w:pStyle w:val="3"/>
              <w:spacing w:line="360" w:lineRule="auto"/>
              <w:jc w:val="both"/>
              <w:rPr>
                <w:rFonts w:ascii="Times New Roman"/>
                <w:sz w:val="20"/>
                <w:vertAlign w:val="baseline"/>
              </w:rPr>
            </w:pPr>
            <w:r>
              <w:drawing>
                <wp:inline distT="0" distB="0" distL="114300" distR="114300">
                  <wp:extent cx="2497455" cy="1863725"/>
                  <wp:effectExtent l="0" t="0" r="17145" b="317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8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0"/>
        </w:rPr>
      </w:pPr>
    </w:p>
    <w:p>
      <w:pPr>
        <w:pStyle w:val="3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产品特性：</w:t>
      </w:r>
    </w:p>
    <w:p>
      <w:pPr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 w:cs="微软雅黑"/>
          <w:spacing w:val="2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</w:rPr>
        <w:t>基于自主知识产权开发，标签适应全球频段工作设定</w:t>
      </w:r>
    </w:p>
    <w:p>
      <w:pPr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 w:cs="微软雅黑"/>
          <w:spacing w:val="2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</w:rPr>
        <w:t>线极化设计在特定方向具有超高读取率、标签识别灵敏度高</w:t>
      </w:r>
    </w:p>
    <w:p>
      <w:pPr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 w:cs="微软雅黑"/>
          <w:spacing w:val="2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</w:rPr>
        <w:t>防伪性能高，拥有合球唯一识别码（TID码）</w:t>
      </w:r>
    </w:p>
    <w:p>
      <w:pPr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 w:cs="微软雅黑"/>
          <w:spacing w:val="20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</w:rPr>
        <w:t>主要应用于零售业、物流、服装品牌管理、洗衣管理等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tbl>
      <w:tblPr>
        <w:tblStyle w:val="7"/>
        <w:tblW w:w="10293" w:type="dxa"/>
        <w:jc w:val="center"/>
        <w:tblInd w:w="0" w:type="dxa"/>
        <w:tblBorders>
          <w:top w:val="single" w:color="A4A4A4" w:themeColor="background1" w:themeShade="A5" w:sz="6" w:space="0"/>
          <w:left w:val="single" w:color="A4A4A4" w:themeColor="background1" w:themeShade="A5" w:sz="6" w:space="0"/>
          <w:bottom w:val="single" w:color="A4A4A4" w:themeColor="background1" w:themeShade="A5" w:sz="6" w:space="0"/>
          <w:right w:val="single" w:color="A4A4A4" w:themeColor="background1" w:themeShade="A5" w:sz="6" w:space="0"/>
          <w:insideH w:val="single" w:color="A4A4A4" w:themeColor="background1" w:themeShade="A5" w:sz="6" w:space="0"/>
          <w:insideV w:val="single" w:color="A4A4A4" w:themeColor="background1" w:themeShade="A5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7761"/>
      </w:tblGrid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93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规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格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描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述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产品型号(订购代码)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VT-85E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93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tabs>
                <w:tab w:val="left" w:pos="3531"/>
              </w:tabs>
              <w:jc w:val="left"/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性  能  指  标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协议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ISO 18000-6B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 xml:space="preserve"> ISO 18000-6C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芯片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autoSpaceDE/>
              <w:autoSpaceDN/>
              <w:adjustRightInd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Alien Higgs系列 / IMPINJ Monza 系列 / NXP （根据客户要求）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工作频率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860—960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  <w:lang w:val="en-US" w:eastAsia="zh-CN"/>
              </w:rPr>
              <w:t>Mhz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存储容量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96bit可扩展至512bit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尺寸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椭圆形 40*24*2.2mm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工作模式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可读写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读取距离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lang w:val="en-US" w:eastAsia="zh-CN"/>
              </w:rPr>
              <w:t>5m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(与读写器性能及工作环境有关)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存储时间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＞10年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可擦写次数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＞100,000次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工作温度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-20℃~+120℃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存储温度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  <w:t>-25℃~+150℃</w:t>
            </w:r>
            <w:bookmarkStart w:id="0" w:name="_GoBack"/>
            <w:bookmarkEnd w:id="0"/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材质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PPS工程塑料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安装方式</w:t>
            </w:r>
          </w:p>
        </w:tc>
        <w:tc>
          <w:tcPr>
            <w:tcW w:w="77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悬挂，嵌入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F652C"/>
    <w:multiLevelType w:val="singleLevel"/>
    <w:tmpl w:val="D58F652C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0008"/>
    <w:rsid w:val="0BB126C2"/>
    <w:rsid w:val="150250A7"/>
    <w:rsid w:val="26216889"/>
    <w:rsid w:val="29AE3FC0"/>
    <w:rsid w:val="495013D3"/>
    <w:rsid w:val="4DB50956"/>
    <w:rsid w:val="525B5F30"/>
    <w:rsid w:val="59B2381B"/>
    <w:rsid w:val="652619AF"/>
    <w:rsid w:val="748549BE"/>
    <w:rsid w:val="7CE9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2020-08-02T08:00:09Z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